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B93A1">
      <w:pPr>
        <w:pStyle w:val="151"/>
        <w:framePr w:wrap="around" w:vAnchor="page" w:hAnchor="page" w:x="1404" w:y="808"/>
        <w:spacing w:before="156" w:after="156"/>
        <w:rPr>
          <w:rFonts w:ascii="Times New Roman"/>
        </w:rPr>
      </w:pPr>
      <w:r>
        <w:rPr>
          <w:rFonts w:ascii="Times New Roman"/>
        </w:rPr>
        <w:t>ICS 83.080.01</w:t>
      </w:r>
    </w:p>
    <w:p w14:paraId="7EC5D4D0">
      <w:pPr>
        <w:pStyle w:val="151"/>
        <w:framePr w:wrap="around" w:vAnchor="page" w:hAnchor="page" w:x="1404" w:y="808"/>
        <w:spacing w:before="156" w:after="156"/>
        <w:rPr>
          <w:rFonts w:ascii="Times New Roman"/>
        </w:rPr>
      </w:pPr>
      <w:r>
        <w:rPr>
          <w:rFonts w:ascii="Times New Roman"/>
        </w:rPr>
        <w:t>CCS Q 22</w:t>
      </w:r>
    </w:p>
    <w:p w14:paraId="33CD6FA8">
      <w:pPr>
        <w:framePr w:w="6673" w:h="1389" w:hRule="exact" w:hSpace="181" w:vSpace="181" w:wrap="around" w:vAnchor="page" w:hAnchor="page" w:x="4327" w:y="1072" w:anchorLock="1"/>
        <w:widowControl/>
        <w:shd w:val="solid" w:color="FFFFFF" w:fill="FFFFFF"/>
        <w:spacing w:line="0" w:lineRule="atLeast"/>
        <w:ind w:firstLine="2513"/>
        <w:jc w:val="right"/>
        <w:rPr>
          <w:rFonts w:eastAsia="宋体"/>
          <w:b/>
          <w:w w:val="130"/>
          <w:kern w:val="0"/>
          <w:sz w:val="96"/>
          <w:szCs w:val="96"/>
        </w:rPr>
      </w:pPr>
      <w:bookmarkStart w:id="0" w:name="c3"/>
      <w:r>
        <w:rPr>
          <w:rFonts w:hint="eastAsia" w:eastAsia="宋体"/>
          <w:b/>
          <w:w w:val="130"/>
          <w:kern w:val="0"/>
          <w:sz w:val="96"/>
          <w:szCs w:val="96"/>
        </w:rPr>
        <w:t>CBMF</w:t>
      </w:r>
      <w:bookmarkEnd w:id="0"/>
    </w:p>
    <w:p w14:paraId="7772FB81">
      <w:pPr>
        <w:framePr w:hSpace="181" w:vSpace="181" w:wrap="around" w:vAnchor="page" w:hAnchor="page" w:x="1419" w:y="2286" w:anchorLock="1"/>
        <w:widowControl/>
        <w:spacing w:before="357" w:line="280" w:lineRule="exact"/>
        <w:ind w:firstLine="960"/>
        <w:jc w:val="distribute"/>
        <w:rPr>
          <w:rFonts w:eastAsia="黑体"/>
          <w:kern w:val="0"/>
          <w:sz w:val="48"/>
          <w:szCs w:val="48"/>
        </w:rPr>
      </w:pPr>
      <w:r>
        <w:rPr>
          <w:rFonts w:eastAsia="黑体"/>
          <w:kern w:val="0"/>
          <w:sz w:val="48"/>
          <w:szCs w:val="48"/>
        </w:rPr>
        <w:t>中国建筑材料协会标准</w:t>
      </w:r>
    </w:p>
    <w:p w14:paraId="67A0483E">
      <w:pPr>
        <w:framePr w:w="9140" w:h="1242" w:hRule="exact" w:hSpace="284" w:wrap="around" w:vAnchor="page" w:hAnchor="page" w:x="1645" w:y="2910" w:anchorLock="1"/>
        <w:widowControl/>
        <w:spacing w:before="357" w:line="280" w:lineRule="exact"/>
        <w:ind w:firstLine="560"/>
        <w:jc w:val="right"/>
        <w:rPr>
          <w:rFonts w:ascii="黑体" w:hAnsi="黑体" w:eastAsia="黑体"/>
          <w:kern w:val="0"/>
          <w:sz w:val="28"/>
          <w:szCs w:val="28"/>
        </w:rPr>
      </w:pPr>
      <w:r>
        <w:rPr>
          <w:rFonts w:ascii="黑体" w:hAnsi="黑体" w:eastAsia="黑体"/>
          <w:kern w:val="0"/>
          <w:sz w:val="28"/>
          <w:szCs w:val="28"/>
        </w:rPr>
        <w:t>T</w:t>
      </w:r>
      <w:bookmarkStart w:id="1" w:name="StdNo1"/>
      <w:r>
        <w:rPr>
          <w:rFonts w:ascii="黑体" w:hAnsi="黑体" w:eastAsia="黑体"/>
          <w:kern w:val="0"/>
          <w:sz w:val="28"/>
          <w:szCs w:val="28"/>
        </w:rPr>
        <w:t>/CBMF</w:t>
      </w:r>
      <w:bookmarkEnd w:id="1"/>
      <w:r>
        <w:rPr>
          <w:rFonts w:hint="eastAsia" w:ascii="黑体" w:hAnsi="黑体" w:eastAsia="黑体"/>
          <w:kern w:val="0"/>
          <w:sz w:val="28"/>
          <w:szCs w:val="28"/>
        </w:rPr>
        <w:t>XX</w:t>
      </w:r>
      <w:r>
        <w:rPr>
          <w:rFonts w:ascii="黑体" w:hAnsi="黑体" w:eastAsia="黑体"/>
          <w:kern w:val="0"/>
          <w:sz w:val="28"/>
          <w:szCs w:val="28"/>
        </w:rPr>
        <w:t>—</w:t>
      </w:r>
      <w:r>
        <w:rPr>
          <w:rFonts w:hint="eastAsia" w:ascii="黑体" w:hAnsi="黑体" w:eastAsia="黑体"/>
          <w:kern w:val="0"/>
          <w:sz w:val="28"/>
          <w:szCs w:val="28"/>
        </w:rPr>
        <w:t>202X</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0F4E9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9CF2195">
            <w:pPr>
              <w:framePr w:w="9140" w:h="1242" w:hRule="exact" w:hSpace="284" w:wrap="around" w:vAnchor="page" w:hAnchor="page" w:x="1645" w:y="2910" w:anchorLock="1"/>
              <w:widowControl/>
              <w:spacing w:before="57" w:line="280" w:lineRule="exact"/>
              <w:ind w:right="420"/>
              <w:rPr>
                <w:rFonts w:ascii="宋体" w:eastAsia="宋体"/>
                <w:kern w:val="0"/>
                <w:szCs w:val="21"/>
              </w:rPr>
            </w:pPr>
          </w:p>
        </w:tc>
      </w:tr>
    </w:tbl>
    <w:p w14:paraId="46FA461E">
      <w:pPr>
        <w:framePr w:w="9140" w:h="1242" w:hRule="exact" w:hSpace="284" w:wrap="around" w:vAnchor="page" w:hAnchor="page" w:x="1645" w:y="2910" w:anchorLock="1"/>
        <w:widowControl/>
        <w:spacing w:before="357" w:line="280" w:lineRule="exact"/>
        <w:ind w:firstLine="560"/>
        <w:jc w:val="right"/>
        <w:rPr>
          <w:rFonts w:ascii="黑体" w:hAnsi="黑体" w:eastAsia="黑体"/>
          <w:kern w:val="0"/>
          <w:sz w:val="28"/>
          <w:szCs w:val="28"/>
        </w:rPr>
      </w:pPr>
    </w:p>
    <w:p w14:paraId="456B52CE">
      <w:pPr>
        <w:framePr w:w="9140" w:h="1242" w:hRule="exact" w:hSpace="284" w:wrap="around" w:vAnchor="page" w:hAnchor="page" w:x="1645" w:y="2910" w:anchorLock="1"/>
        <w:widowControl/>
        <w:spacing w:before="357" w:line="280" w:lineRule="exact"/>
        <w:ind w:firstLine="560"/>
        <w:jc w:val="right"/>
        <w:rPr>
          <w:rFonts w:ascii="黑体" w:hAnsi="黑体" w:eastAsia="黑体"/>
          <w:kern w:val="0"/>
          <w:sz w:val="28"/>
          <w:szCs w:val="28"/>
        </w:rPr>
      </w:pPr>
    </w:p>
    <w:p w14:paraId="72354F52">
      <w:pPr>
        <w:framePr w:w="9639" w:h="8186" w:hRule="exact" w:wrap="around" w:vAnchor="page" w:hAnchor="page" w:x="1244" w:y="5535" w:anchorLock="1"/>
        <w:spacing w:line="680" w:lineRule="exact"/>
        <w:ind w:firstLine="1040"/>
        <w:jc w:val="center"/>
        <w:textAlignment w:val="center"/>
        <w:rPr>
          <w:rFonts w:ascii="黑体" w:eastAsia="黑体"/>
          <w:kern w:val="0"/>
          <w:sz w:val="52"/>
          <w:szCs w:val="52"/>
        </w:rPr>
      </w:pPr>
      <w:bookmarkStart w:id="2" w:name="YZBS"/>
      <w:r>
        <w:rPr>
          <w:rFonts w:hint="eastAsia" w:ascii="黑体" w:eastAsia="黑体"/>
          <w:kern w:val="0"/>
          <w:sz w:val="52"/>
          <w:szCs w:val="52"/>
        </w:rPr>
        <w:t>建筑塑料制品中合成树脂种类的鉴定</w:t>
      </w:r>
    </w:p>
    <w:p w14:paraId="6F130D47">
      <w:pPr>
        <w:framePr w:w="9639" w:h="8186" w:hRule="exact" w:wrap="around" w:vAnchor="page" w:hAnchor="page" w:x="1244" w:y="5535" w:anchorLock="1"/>
        <w:spacing w:line="680" w:lineRule="exact"/>
        <w:ind w:firstLine="1040"/>
        <w:jc w:val="center"/>
        <w:textAlignment w:val="center"/>
        <w:rPr>
          <w:rFonts w:ascii="黑体" w:eastAsia="黑体"/>
          <w:kern w:val="0"/>
          <w:sz w:val="52"/>
          <w:szCs w:val="52"/>
        </w:rPr>
      </w:pPr>
      <w:r>
        <w:rPr>
          <w:rFonts w:hint="eastAsia" w:ascii="黑体" w:eastAsia="黑体"/>
          <w:kern w:val="0"/>
          <w:sz w:val="52"/>
          <w:szCs w:val="52"/>
        </w:rPr>
        <w:t>第1部分：红外光谱法</w:t>
      </w:r>
    </w:p>
    <w:p w14:paraId="7CE60F3E">
      <w:pPr>
        <w:framePr w:w="9639" w:h="8186" w:hRule="exact" w:wrap="around" w:vAnchor="page" w:hAnchor="page" w:x="1244" w:y="5535" w:anchorLock="1"/>
        <w:spacing w:before="180" w:after="160" w:line="180" w:lineRule="exact"/>
        <w:ind w:firstLine="560"/>
        <w:jc w:val="center"/>
        <w:textAlignment w:val="center"/>
        <w:rPr>
          <w:rFonts w:eastAsia="宋体"/>
          <w:kern w:val="0"/>
          <w:sz w:val="28"/>
          <w:szCs w:val="28"/>
        </w:rPr>
      </w:pPr>
    </w:p>
    <w:p w14:paraId="709B7C6F">
      <w:pPr>
        <w:pStyle w:val="79"/>
        <w:framePr w:h="8186" w:hRule="exact" w:wrap="around" w:x="1244" w:y="5535"/>
        <w:spacing w:line="360" w:lineRule="auto"/>
        <w:textAlignment w:val="auto"/>
        <w:rPr>
          <w:b/>
          <w:sz w:val="32"/>
          <w:szCs w:val="32"/>
        </w:rPr>
      </w:pPr>
      <w:r>
        <w:rPr>
          <w:b/>
          <w:sz w:val="32"/>
          <w:szCs w:val="32"/>
        </w:rPr>
        <w:t xml:space="preserve">Identification of synthetic resin types in building plastic products </w:t>
      </w:r>
    </w:p>
    <w:p w14:paraId="108DEF39">
      <w:pPr>
        <w:pStyle w:val="79"/>
        <w:framePr w:h="8186" w:hRule="exact" w:wrap="around" w:x="1244" w:y="5535"/>
        <w:spacing w:line="360" w:lineRule="auto"/>
        <w:textAlignment w:val="auto"/>
        <w:rPr>
          <w:b/>
          <w:sz w:val="32"/>
          <w:szCs w:val="32"/>
        </w:rPr>
      </w:pPr>
      <w:r>
        <w:rPr>
          <w:b/>
          <w:sz w:val="32"/>
          <w:szCs w:val="32"/>
        </w:rPr>
        <w:t>Part 1: Infrared spectroscopy method</w:t>
      </w:r>
      <w:r>
        <w:rPr>
          <w:rFonts w:hint="eastAsia"/>
          <w:b/>
          <w:sz w:val="32"/>
          <w:szCs w:val="32"/>
        </w:rPr>
        <w:t xml:space="preserve"> </w:t>
      </w:r>
    </w:p>
    <w:p w14:paraId="57922582">
      <w:pPr>
        <w:pStyle w:val="79"/>
        <w:framePr w:h="8186" w:hRule="exact" w:wrap="around" w:x="1244" w:y="5535"/>
        <w:spacing w:line="360" w:lineRule="auto"/>
        <w:textAlignment w:val="auto"/>
        <w:rPr>
          <w:b/>
          <w:sz w:val="32"/>
          <w:szCs w:val="32"/>
        </w:rPr>
      </w:pPr>
    </w:p>
    <w:bookmarkEnd w:id="2"/>
    <w:tbl>
      <w:tblPr>
        <w:tblStyle w:val="39"/>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284BC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4D545CC">
            <w:pPr>
              <w:framePr w:w="9639" w:h="8186" w:hRule="exact" w:wrap="around" w:vAnchor="page" w:hAnchor="page" w:x="1244" w:y="5535" w:anchorLock="1"/>
              <w:spacing w:before="440" w:line="400" w:lineRule="exact"/>
              <w:ind w:firstLine="560"/>
              <w:textAlignment w:val="center"/>
              <w:rPr>
                <w:rFonts w:ascii="宋体" w:eastAsia="宋体"/>
                <w:kern w:val="0"/>
                <w:sz w:val="28"/>
                <w:szCs w:val="28"/>
              </w:rPr>
            </w:pPr>
          </w:p>
          <w:p w14:paraId="566D7F13">
            <w:pPr>
              <w:framePr w:w="9639" w:h="8186" w:hRule="exact" w:wrap="around" w:vAnchor="page" w:hAnchor="page" w:x="1244" w:y="5535" w:anchorLock="1"/>
              <w:spacing w:before="440" w:line="400" w:lineRule="exact"/>
              <w:ind w:firstLine="560"/>
              <w:jc w:val="center"/>
              <w:textAlignment w:val="center"/>
              <w:rPr>
                <w:rFonts w:ascii="宋体" w:eastAsia="宋体"/>
                <w:kern w:val="0"/>
                <w:sz w:val="28"/>
                <w:szCs w:val="28"/>
              </w:rPr>
            </w:pPr>
            <w:r>
              <w:rPr>
                <w:rFonts w:hint="eastAsia" w:ascii="宋体" w:eastAsia="宋体"/>
                <w:kern w:val="0"/>
                <w:sz w:val="28"/>
                <w:szCs w:val="28"/>
              </w:rPr>
              <w:t>（征求意见稿）</w:t>
            </w:r>
          </w:p>
        </w:tc>
      </w:tr>
      <w:tr w14:paraId="67DE2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F940B76">
            <w:pPr>
              <w:framePr w:w="9639" w:h="8186" w:hRule="exact" w:wrap="around" w:vAnchor="page" w:hAnchor="page" w:x="1244" w:y="5535" w:anchorLock="1"/>
              <w:spacing w:before="440" w:line="400" w:lineRule="exact"/>
              <w:ind w:firstLine="560"/>
              <w:jc w:val="center"/>
              <w:textAlignment w:val="center"/>
              <w:rPr>
                <w:rFonts w:hint="default" w:ascii="宋体" w:eastAsia="宋体"/>
                <w:kern w:val="0"/>
                <w:sz w:val="28"/>
                <w:szCs w:val="28"/>
                <w:lang w:val="en-US" w:eastAsia="zh-CN"/>
              </w:rPr>
            </w:pPr>
            <w:r>
              <w:rPr>
                <w:rFonts w:hint="eastAsia" w:ascii="宋体" w:eastAsia="宋体"/>
                <w:kern w:val="0"/>
                <w:sz w:val="28"/>
                <w:szCs w:val="28"/>
              </w:rPr>
              <w:t>2025</w:t>
            </w:r>
            <w:r>
              <w:rPr>
                <w:rFonts w:ascii="宋体" w:eastAsia="宋体"/>
                <w:kern w:val="0"/>
                <w:sz w:val="28"/>
                <w:szCs w:val="28"/>
              </w:rPr>
              <w:t>.</w:t>
            </w:r>
            <w:r>
              <w:rPr>
                <w:rFonts w:hint="eastAsia" w:ascii="宋体" w:eastAsia="宋体"/>
                <w:kern w:val="0"/>
                <w:sz w:val="28"/>
                <w:szCs w:val="28"/>
                <w:lang w:val="en-US" w:eastAsia="zh-CN"/>
              </w:rPr>
              <w:t>11</w:t>
            </w:r>
          </w:p>
        </w:tc>
      </w:tr>
    </w:tbl>
    <w:p w14:paraId="6C523FE8">
      <w:pPr>
        <w:framePr w:w="3997" w:h="471" w:hRule="exact" w:vSpace="181" w:wrap="around" w:vAnchor="page" w:hAnchor="page" w:x="1250" w:y="14572" w:anchorLock="1"/>
        <w:widowControl/>
        <w:ind w:firstLine="560"/>
        <w:jc w:val="left"/>
        <w:rPr>
          <w:rFonts w:eastAsia="黑体"/>
          <w:kern w:val="0"/>
          <w:sz w:val="28"/>
          <w:szCs w:val="20"/>
        </w:rPr>
      </w:pPr>
      <w:r>
        <w:rPr>
          <w:rFonts w:hint="eastAsia" w:ascii="黑体" w:eastAsia="黑体"/>
          <w:kern w:val="0"/>
          <w:sz w:val="28"/>
          <w:szCs w:val="20"/>
        </w:rPr>
        <w:t>20XX</w:t>
      </w:r>
      <w:r>
        <w:rPr>
          <w:rFonts w:ascii="黑体" w:eastAsia="黑体"/>
          <w:kern w:val="0"/>
          <w:sz w:val="28"/>
          <w:szCs w:val="20"/>
        </w:rPr>
        <w:t>-</w:t>
      </w:r>
      <w:r>
        <w:rPr>
          <w:rFonts w:ascii="黑体" w:eastAsia="黑体"/>
          <w:kern w:val="0"/>
          <w:sz w:val="28"/>
          <w:szCs w:val="20"/>
        </w:rPr>
        <w:fldChar w:fldCharType="begin">
          <w:ffData>
            <w:name w:val="FM"/>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r>
        <w:rPr>
          <w:rFonts w:ascii="黑体" w:eastAsia="黑体"/>
          <w:kern w:val="0"/>
          <w:sz w:val="28"/>
          <w:szCs w:val="20"/>
        </w:rPr>
        <w:t>-</w:t>
      </w:r>
      <w:bookmarkStart w:id="3" w:name="FD"/>
      <w:r>
        <w:rPr>
          <w:rFonts w:ascii="黑体" w:eastAsia="黑体"/>
          <w:kern w:val="0"/>
          <w:sz w:val="28"/>
          <w:szCs w:val="20"/>
        </w:rPr>
        <w:fldChar w:fldCharType="begin">
          <w:ffData>
            <w:name w:val="FD"/>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3"/>
      <w:r>
        <w:rPr>
          <w:rFonts w:hint="eastAsia" w:eastAsia="黑体"/>
          <w:kern w:val="0"/>
          <w:sz w:val="28"/>
          <w:szCs w:val="20"/>
        </w:rPr>
        <w:t>发布</w:t>
      </w:r>
    </w:p>
    <w:p w14:paraId="78DF9B39">
      <w:pPr>
        <w:framePr w:w="3997" w:h="471" w:hRule="exact" w:vSpace="181" w:wrap="around" w:vAnchor="page" w:hAnchor="page" w:x="6971" w:y="14588" w:anchorLock="1"/>
        <w:widowControl/>
        <w:ind w:firstLine="560"/>
        <w:jc w:val="right"/>
        <w:rPr>
          <w:rFonts w:eastAsia="黑体"/>
          <w:kern w:val="0"/>
          <w:sz w:val="28"/>
          <w:szCs w:val="20"/>
        </w:rPr>
      </w:pPr>
      <w:r>
        <w:rPr>
          <w:rFonts w:hint="eastAsia" w:ascii="黑体" w:eastAsia="黑体"/>
          <w:kern w:val="0"/>
          <w:sz w:val="28"/>
          <w:szCs w:val="20"/>
        </w:rPr>
        <w:t>20XX</w:t>
      </w:r>
      <w:r>
        <w:rPr>
          <w:rFonts w:ascii="黑体" w:eastAsia="黑体"/>
          <w:kern w:val="0"/>
          <w:sz w:val="28"/>
          <w:szCs w:val="20"/>
        </w:rPr>
        <w:t>-</w:t>
      </w:r>
      <w:bookmarkStart w:id="4" w:name="SM"/>
      <w:r>
        <w:rPr>
          <w:rFonts w:ascii="黑体" w:eastAsia="黑体"/>
          <w:kern w:val="0"/>
          <w:sz w:val="28"/>
          <w:szCs w:val="20"/>
        </w:rPr>
        <w:fldChar w:fldCharType="begin">
          <w:ffData>
            <w:name w:val="SM"/>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4"/>
      <w:r>
        <w:rPr>
          <w:rFonts w:ascii="黑体" w:eastAsia="黑体"/>
          <w:kern w:val="0"/>
          <w:sz w:val="28"/>
          <w:szCs w:val="20"/>
        </w:rPr>
        <w:t>-</w:t>
      </w:r>
      <w:bookmarkStart w:id="5" w:name="SD"/>
      <w:r>
        <w:rPr>
          <w:rFonts w:ascii="黑体" w:eastAsia="黑体"/>
          <w:kern w:val="0"/>
          <w:sz w:val="28"/>
          <w:szCs w:val="20"/>
        </w:rPr>
        <w:fldChar w:fldCharType="begin">
          <w:ffData>
            <w:name w:val="SD"/>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5"/>
      <w:r>
        <w:rPr>
          <w:rFonts w:hint="eastAsia" w:eastAsia="黑体"/>
          <w:kern w:val="0"/>
          <w:sz w:val="28"/>
          <w:szCs w:val="20"/>
        </w:rPr>
        <w:t>实施</w:t>
      </w:r>
    </w:p>
    <w:p w14:paraId="2C00A51C">
      <w:pPr>
        <w:framePr w:w="7938" w:h="1134" w:hRule="exact" w:hSpace="125" w:vSpace="181" w:wrap="around" w:vAnchor="page" w:hAnchor="page" w:x="2150" w:y="15310" w:anchorLock="1"/>
        <w:widowControl/>
        <w:spacing w:line="0" w:lineRule="atLeast"/>
        <w:ind w:firstLine="1048"/>
        <w:jc w:val="center"/>
        <w:rPr>
          <w:rFonts w:ascii="黑体" w:eastAsia="黑体"/>
          <w:spacing w:val="85"/>
          <w:kern w:val="0"/>
          <w:position w:val="3"/>
          <w:sz w:val="28"/>
          <w:szCs w:val="28"/>
        </w:rPr>
      </w:pPr>
      <w:r>
        <w:rPr>
          <w:rFonts w:hint="eastAsia" w:ascii="黑体" w:eastAsia="黑体"/>
          <w:spacing w:val="20"/>
          <w:w w:val="135"/>
          <w:kern w:val="0"/>
          <w:sz w:val="36"/>
          <w:szCs w:val="36"/>
        </w:rPr>
        <w:t>中国建筑材料联合会</w:t>
      </w:r>
      <w:r>
        <w:rPr>
          <w:rFonts w:hint="eastAsia" w:ascii="MS Mincho" w:hAnsi="MS Mincho" w:eastAsia="MS Mincho" w:cs="MS Mincho"/>
          <w:spacing w:val="20"/>
          <w:w w:val="135"/>
          <w:kern w:val="0"/>
          <w:sz w:val="28"/>
          <w:szCs w:val="20"/>
        </w:rPr>
        <w:t>   </w:t>
      </w:r>
      <w:r>
        <w:rPr>
          <w:rFonts w:hint="eastAsia" w:ascii="黑体" w:eastAsia="黑体"/>
          <w:spacing w:val="85"/>
          <w:kern w:val="0"/>
          <w:position w:val="3"/>
          <w:sz w:val="28"/>
          <w:szCs w:val="28"/>
        </w:rPr>
        <w:t>发布</w:t>
      </w:r>
    </w:p>
    <w:p w14:paraId="1CC95587">
      <w:pPr>
        <w:widowControl/>
        <w:tabs>
          <w:tab w:val="center" w:pos="4201"/>
          <w:tab w:val="right" w:leader="dot" w:pos="9298"/>
        </w:tabs>
        <w:autoSpaceDE w:val="0"/>
        <w:autoSpaceDN w:val="0"/>
        <w:rPr>
          <w:rFonts w:ascii="宋体" w:eastAsia="宋体"/>
          <w:kern w:val="0"/>
          <w:szCs w:val="20"/>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start="1"/>
          <w:cols w:space="720" w:num="1"/>
          <w:docGrid w:type="lines" w:linePitch="312" w:charSpace="0"/>
        </w:sectPr>
      </w:pPr>
      <w:r>
        <w:rPr>
          <w:rFonts w:ascii="宋体" w:eastAsia="宋体"/>
          <w:color w:val="000000"/>
          <w:kern w:val="0"/>
          <w:szCs w:val="20"/>
        </w:rPr>
        <mc:AlternateContent>
          <mc:Choice Requires="wps">
            <w:drawing>
              <wp:anchor distT="0" distB="0" distL="114300" distR="114300" simplePos="0" relativeHeight="251661312" behindDoc="0" locked="0" layoutInCell="1" allowOverlap="1">
                <wp:simplePos x="0" y="0"/>
                <wp:positionH relativeFrom="margin">
                  <wp:posOffset>-88900</wp:posOffset>
                </wp:positionH>
                <wp:positionV relativeFrom="paragraph">
                  <wp:posOffset>9255125</wp:posOffset>
                </wp:positionV>
                <wp:extent cx="6121400" cy="0"/>
                <wp:effectExtent l="0" t="0" r="12700" b="1905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7pt;margin-top:728.75pt;height:0pt;width:482pt;mso-position-horizontal-relative:margin;z-index:251661312;mso-width-relative:page;mso-height-relative:page;" filled="f" stroked="t" coordsize="21600,21600" o:gfxdata="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ERGNkAAAAN&#10;AQAADwAAAAAAAAABACAAAAAiAAAAZHJzL2Rvd25yZXYueG1sUEsBAhQAFAAAAAgAh07iQHF2VAzi&#10;AQAAqwMAAA4AAAAAAAAAAQAgAAAAKAEAAGRycy9lMm9Eb2MueG1sUEsFBgAAAAAGAAYAWQEAAHwF&#10;AAAAAA==&#10;">
                <v:fill on="f" focussize="0,0"/>
                <v:stroke weight="1pt" color="#080000" joinstyle="round"/>
                <v:imagedata o:title=""/>
                <o:lock v:ext="edit" aspectratio="f"/>
              </v:line>
            </w:pict>
          </mc:Fallback>
        </mc:AlternateContent>
      </w:r>
      <w:r>
        <w:rPr>
          <w:rFonts w:ascii="宋体" w:eastAsia="宋体"/>
          <w:kern w:val="0"/>
          <w:szCs w:val="20"/>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2120900</wp:posOffset>
                </wp:positionV>
                <wp:extent cx="6120130" cy="0"/>
                <wp:effectExtent l="13970" t="13970" r="9525" b="508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67pt;height:0pt;width:481.9pt;z-index:251660288;mso-width-relative:page;mso-height-relative:page;" filled="f" stroked="t" coordsize="21600,21600" o:gfxdata="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cT05LWAAAACQEAAA8AAAAAAAAAAQAgAAAAIgAAAGRycy9kb3du&#10;cmV2LnhtbFBLAQIUABQAAAAIAIdO4kBpfwqzyAEAAKADAAAOAAAAAAAAAAEAIAAAACUBAABkcnMv&#10;ZTJvRG9jLnhtbFBLBQYAAAAABgAGAFkBAABfBQAAAAA=&#10;">
                <v:fill on="f" focussize="0,0"/>
                <v:stroke color="#000000" joinstyle="round"/>
                <v:imagedata o:title=""/>
                <o:lock v:ext="edit" aspectratio="f"/>
              </v:line>
            </w:pict>
          </mc:Fallback>
        </mc:AlternateContent>
      </w:r>
    </w:p>
    <w:p w14:paraId="14F36A75">
      <w:pPr>
        <w:pageBreakBefore/>
        <w:widowControl/>
        <w:shd w:val="clear" w:color="FFFFFF" w:fill="FFFFFF"/>
        <w:tabs>
          <w:tab w:val="center" w:pos="4201"/>
          <w:tab w:val="right" w:leader="dot" w:pos="9298"/>
        </w:tabs>
        <w:autoSpaceDE w:val="0"/>
        <w:autoSpaceDN w:val="0"/>
        <w:spacing w:before="640" w:after="560" w:line="460" w:lineRule="exact"/>
        <w:jc w:val="center"/>
        <w:outlineLvl w:val="0"/>
        <w:rPr>
          <w:rFonts w:ascii="宋体" w:eastAsia="宋体"/>
          <w:szCs w:val="21"/>
        </w:rPr>
        <w:sectPr>
          <w:headerReference r:id="rId11" w:type="default"/>
          <w:pgSz w:w="11906" w:h="16838"/>
          <w:pgMar w:top="851" w:right="1134" w:bottom="1134" w:left="1418" w:header="1418" w:footer="1134" w:gutter="0"/>
          <w:pgNumType w:start="1"/>
          <w:cols w:space="425" w:num="1"/>
          <w:docGrid w:type="lines" w:linePitch="312" w:charSpace="0"/>
        </w:sectPr>
      </w:pPr>
    </w:p>
    <w:p w14:paraId="0E9D4996">
      <w:pPr>
        <w:pStyle w:val="122"/>
        <w:keepNext w:val="0"/>
        <w:pageBreakBefore w:val="0"/>
        <w:numPr>
          <w:ilvl w:val="0"/>
          <w:numId w:val="9"/>
        </w:numPr>
      </w:pPr>
      <w:bookmarkStart w:id="6" w:name="_Toc14713"/>
      <w:r>
        <w:rPr>
          <w:rFonts w:hint="eastAsia"/>
        </w:rPr>
        <w:t>前</w:t>
      </w:r>
      <w:r>
        <w:rPr>
          <w:rFonts w:ascii="Times New Roman"/>
        </w:rPr>
        <w:t>  </w:t>
      </w:r>
      <w:r>
        <w:rPr>
          <w:rFonts w:hint="eastAsia"/>
        </w:rPr>
        <w:t>言</w:t>
      </w:r>
      <w:bookmarkEnd w:id="6"/>
    </w:p>
    <w:p w14:paraId="58C903CC">
      <w:pPr>
        <w:widowControl/>
        <w:tabs>
          <w:tab w:val="center" w:pos="4201"/>
          <w:tab w:val="right" w:leader="dot" w:pos="9298"/>
        </w:tabs>
        <w:autoSpaceDE w:val="0"/>
        <w:autoSpaceDN w:val="0"/>
        <w:spacing w:line="240" w:lineRule="auto"/>
        <w:rPr>
          <w:rFonts w:eastAsia="宋体"/>
          <w:kern w:val="0"/>
          <w:szCs w:val="21"/>
        </w:rPr>
      </w:pPr>
      <w:r>
        <w:rPr>
          <w:rFonts w:eastAsia="宋体"/>
          <w:kern w:val="0"/>
          <w:szCs w:val="21"/>
        </w:rPr>
        <w:t>本文件按照GB/T 1.1-2020《标准化工作导则 第1部分：标准化文件的结构和起草规则》的规定起草。</w:t>
      </w:r>
    </w:p>
    <w:p w14:paraId="219FE681">
      <w:pPr>
        <w:pStyle w:val="55"/>
        <w:spacing w:after="0"/>
        <w:ind w:firstLine="420" w:firstLineChars="200"/>
        <w:jc w:val="both"/>
        <w:rPr>
          <w:rFonts w:ascii="Times New Roman" w:eastAsiaTheme="minorEastAsia"/>
        </w:rPr>
      </w:pPr>
      <w:r>
        <w:rPr>
          <w:rFonts w:ascii="Times New Roman" w:eastAsiaTheme="minorEastAsia"/>
        </w:rPr>
        <w:t>本文件是T/CBMF XX《</w:t>
      </w:r>
      <w:r>
        <w:rPr>
          <w:rFonts w:hint="eastAsia" w:ascii="Times New Roman" w:eastAsiaTheme="minorEastAsia"/>
        </w:rPr>
        <w:t>建筑塑料制品中合成树脂种类的鉴定</w:t>
      </w:r>
      <w:r>
        <w:rPr>
          <w:rFonts w:ascii="Times New Roman" w:eastAsiaTheme="minorEastAsia"/>
        </w:rPr>
        <w:t>》的第1部分。T/CBMF XX已经发布了以下部分：</w:t>
      </w:r>
    </w:p>
    <w:p w14:paraId="5361CAD0">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1</w:t>
      </w:r>
      <w:r>
        <w:rPr>
          <w:rFonts w:hint="eastAsia" w:eastAsia="宋体"/>
          <w:kern w:val="0"/>
          <w:szCs w:val="21"/>
        </w:rPr>
        <w:t>部分：红外光谱法</w:t>
      </w:r>
    </w:p>
    <w:p w14:paraId="63A2BDF5">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2</w:t>
      </w:r>
      <w:r>
        <w:rPr>
          <w:rFonts w:hint="eastAsia" w:eastAsia="宋体"/>
          <w:kern w:val="0"/>
          <w:szCs w:val="21"/>
        </w:rPr>
        <w:t>部分：裂解气相色谱</w:t>
      </w:r>
      <w:r>
        <w:rPr>
          <w:rFonts w:eastAsia="宋体"/>
          <w:kern w:val="0"/>
          <w:szCs w:val="21"/>
        </w:rPr>
        <w:t>-</w:t>
      </w:r>
      <w:r>
        <w:rPr>
          <w:rFonts w:hint="eastAsia" w:eastAsia="宋体"/>
          <w:kern w:val="0"/>
          <w:szCs w:val="21"/>
        </w:rPr>
        <w:t>质谱法</w:t>
      </w:r>
    </w:p>
    <w:p w14:paraId="6BE3600D">
      <w:pPr>
        <w:widowControl/>
        <w:tabs>
          <w:tab w:val="center" w:pos="4201"/>
          <w:tab w:val="right" w:leader="dot" w:pos="9298"/>
        </w:tabs>
        <w:autoSpaceDE w:val="0"/>
        <w:autoSpaceDN w:val="0"/>
        <w:spacing w:line="240" w:lineRule="auto"/>
        <w:rPr>
          <w:rFonts w:eastAsia="宋体"/>
          <w:kern w:val="0"/>
          <w:szCs w:val="21"/>
        </w:rPr>
      </w:pPr>
      <w:r>
        <w:rPr>
          <w:rFonts w:eastAsia="宋体"/>
          <w:kern w:val="0"/>
          <w:szCs w:val="21"/>
        </w:rPr>
        <w:t>请注意本文件的某些内容可能涉及专利，本文件的发布机构不承担识别专利的责任。</w:t>
      </w:r>
    </w:p>
    <w:p w14:paraId="62374224">
      <w:pPr>
        <w:widowControl/>
        <w:tabs>
          <w:tab w:val="center" w:pos="4201"/>
          <w:tab w:val="right" w:leader="dot" w:pos="9298"/>
        </w:tabs>
        <w:autoSpaceDE w:val="0"/>
        <w:autoSpaceDN w:val="0"/>
        <w:spacing w:line="240" w:lineRule="auto"/>
        <w:rPr>
          <w:rFonts w:eastAsia="宋体"/>
          <w:kern w:val="0"/>
          <w:szCs w:val="20"/>
        </w:rPr>
      </w:pPr>
      <w:r>
        <w:rPr>
          <w:rFonts w:eastAsia="宋体"/>
          <w:kern w:val="0"/>
          <w:szCs w:val="20"/>
        </w:rPr>
        <w:t>本文件由中国建筑材料联合会提出并归口。</w:t>
      </w:r>
    </w:p>
    <w:p w14:paraId="4D1DEB7C">
      <w:pPr>
        <w:spacing w:line="240" w:lineRule="auto"/>
        <w:rPr>
          <w:rFonts w:eastAsia="宋体"/>
          <w:szCs w:val="24"/>
        </w:rPr>
      </w:pPr>
      <w:r>
        <w:rPr>
          <w:rFonts w:eastAsia="宋体"/>
          <w:szCs w:val="24"/>
        </w:rPr>
        <w:t>本</w:t>
      </w:r>
      <w:r>
        <w:rPr>
          <w:rFonts w:hint="eastAsia" w:eastAsia="宋体"/>
          <w:szCs w:val="24"/>
        </w:rPr>
        <w:t>文件</w:t>
      </w:r>
      <w:r>
        <w:rPr>
          <w:rFonts w:eastAsia="宋体"/>
          <w:szCs w:val="24"/>
        </w:rPr>
        <w:t>起草单位：</w:t>
      </w:r>
    </w:p>
    <w:p w14:paraId="2B66A80F">
      <w:pPr>
        <w:spacing w:line="240" w:lineRule="auto"/>
        <w:rPr>
          <w:rFonts w:eastAsia="宋体"/>
          <w:szCs w:val="24"/>
        </w:rPr>
      </w:pPr>
      <w:r>
        <w:rPr>
          <w:rFonts w:eastAsia="宋体"/>
          <w:szCs w:val="24"/>
        </w:rPr>
        <w:t>本</w:t>
      </w:r>
      <w:r>
        <w:rPr>
          <w:rFonts w:hint="eastAsia" w:eastAsia="宋体"/>
          <w:szCs w:val="24"/>
        </w:rPr>
        <w:t>文件参加</w:t>
      </w:r>
      <w:r>
        <w:rPr>
          <w:rFonts w:eastAsia="宋体"/>
          <w:szCs w:val="24"/>
        </w:rPr>
        <w:t xml:space="preserve">起草单位： </w:t>
      </w:r>
    </w:p>
    <w:p w14:paraId="50BEDFCE">
      <w:pPr>
        <w:spacing w:line="240" w:lineRule="auto"/>
      </w:pPr>
      <w:r>
        <w:rPr>
          <w:rFonts w:eastAsia="宋体"/>
          <w:szCs w:val="24"/>
        </w:rPr>
        <w:t>本</w:t>
      </w:r>
      <w:r>
        <w:rPr>
          <w:rFonts w:hint="eastAsia" w:eastAsia="宋体"/>
          <w:szCs w:val="24"/>
        </w:rPr>
        <w:t>文件主要</w:t>
      </w:r>
      <w:r>
        <w:rPr>
          <w:rFonts w:eastAsia="宋体"/>
          <w:szCs w:val="24"/>
        </w:rPr>
        <w:t>起草人：</w:t>
      </w:r>
      <w:r>
        <w:t xml:space="preserve"> </w:t>
      </w:r>
    </w:p>
    <w:p w14:paraId="37C524DD">
      <w:pPr>
        <w:spacing w:line="240" w:lineRule="auto"/>
        <w:rPr>
          <w:rFonts w:eastAsia="宋体"/>
          <w:szCs w:val="24"/>
        </w:rPr>
      </w:pPr>
      <w:r>
        <w:rPr>
          <w:rFonts w:hint="eastAsia" w:eastAsia="宋体"/>
          <w:szCs w:val="24"/>
        </w:rPr>
        <w:t>本文件主要审查人：</w:t>
      </w:r>
      <w:r>
        <w:rPr>
          <w:rFonts w:eastAsia="宋体"/>
          <w:szCs w:val="24"/>
        </w:rPr>
        <w:t xml:space="preserve"> </w:t>
      </w:r>
    </w:p>
    <w:p w14:paraId="178AE8EF">
      <w:pPr>
        <w:widowControl/>
        <w:tabs>
          <w:tab w:val="center" w:pos="4201"/>
          <w:tab w:val="right" w:leader="dot" w:pos="9298"/>
        </w:tabs>
        <w:autoSpaceDE w:val="0"/>
        <w:autoSpaceDN w:val="0"/>
        <w:rPr>
          <w:rFonts w:ascii="宋体" w:eastAsia="宋体"/>
          <w:kern w:val="0"/>
          <w:szCs w:val="20"/>
        </w:rPr>
      </w:pPr>
    </w:p>
    <w:p w14:paraId="091BA031">
      <w:pPr>
        <w:widowControl/>
        <w:tabs>
          <w:tab w:val="center" w:pos="4201"/>
          <w:tab w:val="right" w:leader="dot" w:pos="9298"/>
        </w:tabs>
        <w:autoSpaceDE w:val="0"/>
        <w:autoSpaceDN w:val="0"/>
        <w:rPr>
          <w:rFonts w:ascii="宋体" w:eastAsia="宋体"/>
          <w:kern w:val="0"/>
          <w:szCs w:val="20"/>
        </w:rPr>
      </w:pPr>
    </w:p>
    <w:p w14:paraId="19DD20CE">
      <w:pPr>
        <w:widowControl/>
        <w:tabs>
          <w:tab w:val="center" w:pos="4201"/>
          <w:tab w:val="right" w:leader="dot" w:pos="9298"/>
        </w:tabs>
        <w:autoSpaceDE w:val="0"/>
        <w:autoSpaceDN w:val="0"/>
        <w:rPr>
          <w:rFonts w:ascii="宋体" w:eastAsia="宋体"/>
          <w:kern w:val="0"/>
          <w:szCs w:val="20"/>
        </w:rPr>
      </w:pPr>
    </w:p>
    <w:p w14:paraId="54B8FEDD">
      <w:pPr>
        <w:widowControl/>
        <w:tabs>
          <w:tab w:val="center" w:pos="4201"/>
          <w:tab w:val="right" w:leader="dot" w:pos="9298"/>
        </w:tabs>
        <w:autoSpaceDE w:val="0"/>
        <w:autoSpaceDN w:val="0"/>
        <w:rPr>
          <w:rFonts w:ascii="宋体" w:eastAsia="宋体"/>
          <w:kern w:val="0"/>
          <w:szCs w:val="20"/>
        </w:rPr>
      </w:pPr>
    </w:p>
    <w:p w14:paraId="13FC38E3">
      <w:pPr>
        <w:widowControl/>
        <w:tabs>
          <w:tab w:val="center" w:pos="4201"/>
          <w:tab w:val="right" w:leader="dot" w:pos="9298"/>
        </w:tabs>
        <w:autoSpaceDE w:val="0"/>
        <w:autoSpaceDN w:val="0"/>
        <w:rPr>
          <w:rFonts w:ascii="宋体" w:eastAsia="宋体"/>
          <w:kern w:val="0"/>
          <w:szCs w:val="20"/>
        </w:rPr>
      </w:pPr>
    </w:p>
    <w:p w14:paraId="1BD9CFFB">
      <w:pPr>
        <w:widowControl/>
        <w:tabs>
          <w:tab w:val="center" w:pos="4201"/>
          <w:tab w:val="right" w:leader="dot" w:pos="9298"/>
        </w:tabs>
        <w:autoSpaceDE w:val="0"/>
        <w:autoSpaceDN w:val="0"/>
        <w:rPr>
          <w:rFonts w:ascii="宋体" w:eastAsia="宋体"/>
          <w:kern w:val="0"/>
          <w:szCs w:val="20"/>
        </w:rPr>
      </w:pPr>
    </w:p>
    <w:p w14:paraId="6A0A3639">
      <w:pPr>
        <w:widowControl/>
        <w:tabs>
          <w:tab w:val="center" w:pos="4201"/>
          <w:tab w:val="right" w:leader="dot" w:pos="9298"/>
        </w:tabs>
        <w:autoSpaceDE w:val="0"/>
        <w:autoSpaceDN w:val="0"/>
        <w:rPr>
          <w:rFonts w:ascii="宋体" w:eastAsia="宋体"/>
          <w:kern w:val="0"/>
          <w:szCs w:val="20"/>
        </w:rPr>
      </w:pPr>
    </w:p>
    <w:p w14:paraId="643ECC60">
      <w:pPr>
        <w:widowControl/>
        <w:tabs>
          <w:tab w:val="center" w:pos="4201"/>
          <w:tab w:val="right" w:leader="dot" w:pos="9298"/>
        </w:tabs>
        <w:autoSpaceDE w:val="0"/>
        <w:autoSpaceDN w:val="0"/>
        <w:rPr>
          <w:rFonts w:ascii="宋体" w:eastAsia="宋体"/>
          <w:kern w:val="0"/>
          <w:szCs w:val="20"/>
        </w:rPr>
      </w:pPr>
    </w:p>
    <w:p w14:paraId="58DC0B67">
      <w:pPr>
        <w:widowControl/>
        <w:tabs>
          <w:tab w:val="center" w:pos="4201"/>
          <w:tab w:val="right" w:leader="dot" w:pos="9298"/>
        </w:tabs>
        <w:autoSpaceDE w:val="0"/>
        <w:autoSpaceDN w:val="0"/>
        <w:rPr>
          <w:rFonts w:ascii="宋体" w:eastAsia="宋体"/>
          <w:kern w:val="0"/>
          <w:szCs w:val="20"/>
        </w:rPr>
      </w:pPr>
    </w:p>
    <w:p w14:paraId="0C452CF9">
      <w:pPr>
        <w:widowControl/>
        <w:tabs>
          <w:tab w:val="center" w:pos="4201"/>
          <w:tab w:val="right" w:leader="dot" w:pos="9298"/>
        </w:tabs>
        <w:autoSpaceDE w:val="0"/>
        <w:autoSpaceDN w:val="0"/>
        <w:rPr>
          <w:rFonts w:ascii="宋体" w:eastAsia="宋体"/>
          <w:kern w:val="0"/>
          <w:szCs w:val="20"/>
        </w:rPr>
      </w:pPr>
    </w:p>
    <w:p w14:paraId="38E2EA5B">
      <w:pPr>
        <w:widowControl/>
        <w:tabs>
          <w:tab w:val="center" w:pos="4201"/>
          <w:tab w:val="right" w:leader="dot" w:pos="9298"/>
        </w:tabs>
        <w:autoSpaceDE w:val="0"/>
        <w:autoSpaceDN w:val="0"/>
        <w:rPr>
          <w:rFonts w:ascii="宋体" w:eastAsia="宋体"/>
          <w:kern w:val="0"/>
          <w:szCs w:val="20"/>
        </w:rPr>
      </w:pPr>
    </w:p>
    <w:p w14:paraId="1B053C25">
      <w:pPr>
        <w:widowControl/>
        <w:tabs>
          <w:tab w:val="center" w:pos="4201"/>
          <w:tab w:val="right" w:leader="dot" w:pos="9298"/>
        </w:tabs>
        <w:autoSpaceDE w:val="0"/>
        <w:autoSpaceDN w:val="0"/>
        <w:rPr>
          <w:rFonts w:ascii="宋体" w:eastAsia="宋体"/>
          <w:kern w:val="0"/>
          <w:szCs w:val="20"/>
        </w:rPr>
      </w:pPr>
    </w:p>
    <w:p w14:paraId="052C64D6">
      <w:pPr>
        <w:widowControl/>
        <w:tabs>
          <w:tab w:val="center" w:pos="4201"/>
          <w:tab w:val="right" w:leader="dot" w:pos="9298"/>
        </w:tabs>
        <w:autoSpaceDE w:val="0"/>
        <w:autoSpaceDN w:val="0"/>
        <w:rPr>
          <w:rFonts w:ascii="宋体" w:eastAsia="宋体"/>
          <w:kern w:val="0"/>
          <w:szCs w:val="20"/>
        </w:rPr>
      </w:pPr>
    </w:p>
    <w:p w14:paraId="094688DF">
      <w:pPr>
        <w:widowControl/>
        <w:tabs>
          <w:tab w:val="center" w:pos="4201"/>
          <w:tab w:val="right" w:leader="dot" w:pos="9298"/>
        </w:tabs>
        <w:autoSpaceDE w:val="0"/>
        <w:autoSpaceDN w:val="0"/>
        <w:rPr>
          <w:rFonts w:ascii="宋体" w:eastAsia="宋体"/>
          <w:kern w:val="0"/>
          <w:szCs w:val="20"/>
        </w:rPr>
        <w:sectPr>
          <w:footerReference r:id="rId12" w:type="default"/>
          <w:pgSz w:w="11906" w:h="16838"/>
          <w:pgMar w:top="851" w:right="1134" w:bottom="1134" w:left="1418" w:header="1418" w:footer="1134" w:gutter="0"/>
          <w:pgNumType w:start="1"/>
          <w:cols w:space="425" w:num="1"/>
          <w:docGrid w:type="lines" w:linePitch="312" w:charSpace="0"/>
        </w:sectPr>
      </w:pPr>
    </w:p>
    <w:p w14:paraId="686E6BDE">
      <w:pPr>
        <w:widowControl/>
        <w:tabs>
          <w:tab w:val="center" w:pos="4201"/>
          <w:tab w:val="right" w:leader="dot" w:pos="9298"/>
        </w:tabs>
        <w:autoSpaceDE w:val="0"/>
        <w:autoSpaceDN w:val="0"/>
        <w:rPr>
          <w:rFonts w:ascii="宋体" w:eastAsia="宋体"/>
          <w:kern w:val="0"/>
          <w:szCs w:val="20"/>
        </w:rPr>
      </w:pPr>
    </w:p>
    <w:p w14:paraId="77B82553">
      <w:pPr>
        <w:pStyle w:val="122"/>
        <w:keepNext w:val="0"/>
        <w:pageBreakBefore w:val="0"/>
        <w:numPr>
          <w:ilvl w:val="0"/>
          <w:numId w:val="9"/>
        </w:numPr>
      </w:pPr>
      <w:bookmarkStart w:id="7" w:name="_Toc181807710"/>
      <w:bookmarkStart w:id="8" w:name="_Toc5769"/>
      <w:r>
        <w:rPr>
          <w:rFonts w:hint="eastAsia" w:ascii="Times New Roman"/>
        </w:rPr>
        <w:t>引</w:t>
      </w:r>
      <w:r>
        <w:rPr>
          <w:rFonts w:ascii="Times New Roman"/>
        </w:rPr>
        <w:t>  </w:t>
      </w:r>
      <w:r>
        <w:rPr>
          <w:rFonts w:hint="eastAsia"/>
        </w:rPr>
        <w:t>言</w:t>
      </w:r>
      <w:bookmarkEnd w:id="7"/>
      <w:bookmarkEnd w:id="8"/>
    </w:p>
    <w:p w14:paraId="6B92D05E">
      <w:pPr>
        <w:pStyle w:val="6"/>
        <w:numPr>
          <w:ilvl w:val="0"/>
          <w:numId w:val="9"/>
        </w:numPr>
        <w:ind w:firstLineChars="0"/>
        <w:rPr>
          <w:rFonts w:ascii="Times New Roman"/>
          <w:szCs w:val="21"/>
        </w:rPr>
      </w:pPr>
      <w:r>
        <w:rPr>
          <w:rFonts w:hint="eastAsia" w:ascii="Times New Roman"/>
          <w:szCs w:val="21"/>
        </w:rPr>
        <w:t>塑料是以合成树脂为主要成分，添加各种填料、增塑剂、润滑剂、稳定剂等辅助材料加工制成的高分子材料，树脂的性质通常决定了塑料的基本性质。以塑料为主的高分子材料在建筑材料领域中占比逐年增大。但随着塑料制品的种类和材料配方体系越来越复杂，对塑料制品的分析和鉴定越来越困难，对于建筑材料中合成树脂种类的鉴定需求难以实现。本系列标准的制定可高效准确的鉴定建筑塑料制品中合成树脂的种类，对建筑材料的成分分析、质量控制以及再生分类具有重要意义。</w:t>
      </w:r>
    </w:p>
    <w:p w14:paraId="1D49F50F">
      <w:pPr>
        <w:widowControl/>
        <w:spacing w:line="240" w:lineRule="auto"/>
        <w:jc w:val="left"/>
        <w:rPr>
          <w:kern w:val="0"/>
          <w:szCs w:val="20"/>
        </w:rPr>
      </w:pPr>
      <w:r>
        <w:rPr>
          <w:rFonts w:hint="eastAsia"/>
          <w:kern w:val="0"/>
          <w:szCs w:val="20"/>
        </w:rPr>
        <w:t xml:space="preserve">T/CBMF </w:t>
      </w:r>
      <w:r>
        <w:rPr>
          <w:kern w:val="0"/>
          <w:szCs w:val="20"/>
        </w:rPr>
        <w:t>XX</w:t>
      </w:r>
      <w:r>
        <w:rPr>
          <w:rFonts w:hint="eastAsia"/>
          <w:kern w:val="0"/>
          <w:szCs w:val="20"/>
        </w:rPr>
        <w:t>《建筑塑料制品中合成树脂种类的鉴定》是</w:t>
      </w:r>
      <w:r>
        <w:rPr>
          <w:rFonts w:hint="eastAsia"/>
          <w:szCs w:val="21"/>
        </w:rPr>
        <w:t>建筑塑料制品中合成树脂的种类鉴定</w:t>
      </w:r>
      <w:r>
        <w:rPr>
          <w:rFonts w:hint="eastAsia"/>
          <w:kern w:val="0"/>
          <w:szCs w:val="20"/>
        </w:rPr>
        <w:t>方法的系列标准，为了保证文件的可用性，将文件编制成若干部分，拟由以下部分构成：</w:t>
      </w:r>
    </w:p>
    <w:p w14:paraId="0F4C5814">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1</w:t>
      </w:r>
      <w:r>
        <w:rPr>
          <w:rFonts w:hint="eastAsia" w:eastAsia="宋体"/>
          <w:kern w:val="0"/>
          <w:szCs w:val="21"/>
        </w:rPr>
        <w:t>部分：红外光谱法</w:t>
      </w:r>
    </w:p>
    <w:p w14:paraId="3D081BD3">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2</w:t>
      </w:r>
      <w:r>
        <w:rPr>
          <w:rFonts w:hint="eastAsia" w:eastAsia="宋体"/>
          <w:kern w:val="0"/>
          <w:szCs w:val="21"/>
        </w:rPr>
        <w:t>部分：裂解气相色谱</w:t>
      </w:r>
      <w:r>
        <w:rPr>
          <w:rFonts w:eastAsia="宋体"/>
          <w:kern w:val="0"/>
          <w:szCs w:val="21"/>
        </w:rPr>
        <w:t>-</w:t>
      </w:r>
      <w:r>
        <w:rPr>
          <w:rFonts w:hint="eastAsia" w:eastAsia="宋体"/>
          <w:kern w:val="0"/>
          <w:szCs w:val="21"/>
        </w:rPr>
        <w:t>质谱法</w:t>
      </w:r>
    </w:p>
    <w:p w14:paraId="6D2C84EC">
      <w:pPr>
        <w:spacing w:line="240" w:lineRule="auto"/>
        <w:sectPr>
          <w:footerReference r:id="rId13" w:type="default"/>
          <w:pgSz w:w="11906" w:h="16838"/>
          <w:pgMar w:top="851" w:right="1134" w:bottom="1134" w:left="1418" w:header="1418" w:footer="1134" w:gutter="0"/>
          <w:pgNumType w:start="1"/>
          <w:cols w:space="425" w:num="1"/>
          <w:docGrid w:type="lines" w:linePitch="312" w:charSpace="0"/>
        </w:sectPr>
      </w:pPr>
      <w:r>
        <w:t xml:space="preserve">    </w:t>
      </w:r>
      <w:r>
        <w:rPr>
          <w:rFonts w:hint="eastAsia"/>
          <w:szCs w:val="21"/>
        </w:rPr>
        <w:t>本文件是T/C</w:t>
      </w:r>
      <w:r>
        <w:rPr>
          <w:szCs w:val="21"/>
        </w:rPr>
        <w:t>BMF XX</w:t>
      </w:r>
      <w:r>
        <w:rPr>
          <w:rFonts w:hint="eastAsia"/>
          <w:szCs w:val="21"/>
        </w:rPr>
        <w:t>的第</w:t>
      </w:r>
      <w:r>
        <w:rPr>
          <w:szCs w:val="21"/>
        </w:rPr>
        <w:t>1</w:t>
      </w:r>
      <w:r>
        <w:rPr>
          <w:rFonts w:hint="eastAsia"/>
          <w:szCs w:val="21"/>
        </w:rPr>
        <w:t>部分</w:t>
      </w:r>
      <w:r>
        <w:rPr>
          <w:rFonts w:hint="eastAsia"/>
        </w:rPr>
        <w:t>。本文件针对</w:t>
      </w:r>
      <w:r>
        <w:rPr>
          <w:rFonts w:hint="eastAsia"/>
          <w:szCs w:val="21"/>
        </w:rPr>
        <w:t>建筑塑料制品中合成树脂的种类鉴定</w:t>
      </w:r>
      <w:r>
        <w:rPr>
          <w:rFonts w:hint="eastAsia"/>
        </w:rPr>
        <w:t>，建立了通过红外光谱法测试建筑塑料制品中合成树脂种类的分析方法，规定了该测试方法的相关技术要求。</w:t>
      </w:r>
    </w:p>
    <w:p w14:paraId="5E83B368">
      <w:pPr>
        <w:pageBreakBefore/>
        <w:widowControl/>
        <w:shd w:val="clear" w:color="FFFFFF" w:fill="FFFFFF"/>
        <w:spacing w:before="640" w:after="560" w:line="460" w:lineRule="exact"/>
        <w:ind w:firstLine="640"/>
        <w:jc w:val="center"/>
        <w:outlineLvl w:val="0"/>
        <w:rPr>
          <w:rFonts w:ascii="黑体" w:eastAsia="黑体"/>
          <w:kern w:val="0"/>
          <w:sz w:val="32"/>
          <w:szCs w:val="20"/>
        </w:rPr>
      </w:pPr>
      <w:bookmarkStart w:id="9" w:name="_Toc32495"/>
      <w:r>
        <w:rPr>
          <w:rFonts w:hint="eastAsia" w:ascii="黑体" w:eastAsia="黑体"/>
          <w:kern w:val="0"/>
          <w:sz w:val="32"/>
          <w:szCs w:val="20"/>
        </w:rPr>
        <w:t>建筑塑料制品中合成树脂种类的鉴定 第1部分：红外光谱法</w:t>
      </w:r>
      <w:bookmarkEnd w:id="9"/>
    </w:p>
    <w:p w14:paraId="433A8421">
      <w:pPr>
        <w:pStyle w:val="2"/>
        <w:spacing w:before="312" w:beforeLines="100" w:after="312" w:afterLines="100" w:line="240" w:lineRule="auto"/>
        <w:ind w:firstLineChars="0"/>
      </w:pPr>
      <w:bookmarkStart w:id="10" w:name="_Toc37256412"/>
      <w:bookmarkStart w:id="11" w:name="_Toc52122398"/>
      <w:bookmarkStart w:id="12" w:name="_Toc37598364"/>
      <w:bookmarkStart w:id="13" w:name="_Toc104306273"/>
      <w:bookmarkStart w:id="14" w:name="_Toc37666086"/>
      <w:bookmarkStart w:id="15" w:name="_Toc104307057"/>
      <w:bookmarkStart w:id="16" w:name="_Toc104308204"/>
      <w:bookmarkStart w:id="17" w:name="_Toc47096264"/>
      <w:bookmarkStart w:id="18" w:name="_Toc40344641"/>
      <w:bookmarkStart w:id="19" w:name="_Toc37235249"/>
      <w:bookmarkStart w:id="20" w:name="_Toc37259758"/>
      <w:bookmarkStart w:id="21" w:name="_Toc104306820"/>
      <w:bookmarkStart w:id="22" w:name="_Toc32682"/>
      <w:bookmarkStart w:id="23" w:name="_Toc40349439"/>
      <w:bookmarkStart w:id="24" w:name="_Toc37260779"/>
      <w:bookmarkStart w:id="25" w:name="_Toc14412"/>
      <w:bookmarkStart w:id="26" w:name="_Toc47546552"/>
      <w:bookmarkStart w:id="27" w:name="_Toc11682032"/>
      <w:bookmarkStart w:id="28" w:name="_Toc35352491"/>
      <w:bookmarkStart w:id="29" w:name="_Toc27566892"/>
      <w:bookmarkStart w:id="30" w:name="_Toc35352688"/>
      <w:bookmarkStart w:id="31" w:name="_Toc19423"/>
      <w:bookmarkStart w:id="32" w:name="_Toc27567219"/>
      <w:r>
        <w:rPr>
          <w:rFonts w:hint="eastAsia"/>
        </w:rPr>
        <w:t>范围</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702341C">
      <w:pPr>
        <w:widowControl/>
        <w:tabs>
          <w:tab w:val="center" w:pos="4201"/>
          <w:tab w:val="right" w:leader="dot" w:pos="9298"/>
        </w:tabs>
        <w:autoSpaceDE w:val="0"/>
        <w:autoSpaceDN w:val="0"/>
        <w:spacing w:line="240" w:lineRule="auto"/>
        <w:rPr>
          <w:rFonts w:eastAsia="宋体"/>
          <w:kern w:val="0"/>
          <w:szCs w:val="20"/>
        </w:rPr>
      </w:pPr>
      <w:r>
        <w:rPr>
          <w:rFonts w:hint="eastAsia" w:eastAsia="宋体"/>
          <w:kern w:val="0"/>
          <w:szCs w:val="20"/>
        </w:rPr>
        <w:t>本文件中规定了使用红外光谱法对建筑塑料制品中合成树脂种类进行鉴定的方法，包括透射分析法和反射分析法。</w:t>
      </w:r>
      <w:bookmarkEnd w:id="27"/>
      <w:bookmarkEnd w:id="28"/>
      <w:bookmarkEnd w:id="29"/>
      <w:bookmarkEnd w:id="30"/>
      <w:bookmarkEnd w:id="31"/>
      <w:bookmarkEnd w:id="32"/>
    </w:p>
    <w:p w14:paraId="060BB3D2">
      <w:pPr>
        <w:widowControl/>
        <w:tabs>
          <w:tab w:val="center" w:pos="4201"/>
          <w:tab w:val="right" w:leader="dot" w:pos="9298"/>
        </w:tabs>
        <w:autoSpaceDE w:val="0"/>
        <w:autoSpaceDN w:val="0"/>
        <w:spacing w:line="240" w:lineRule="auto"/>
        <w:rPr>
          <w:rFonts w:eastAsia="宋体"/>
          <w:kern w:val="0"/>
          <w:szCs w:val="20"/>
        </w:rPr>
      </w:pPr>
      <w:r>
        <w:rPr>
          <w:rFonts w:eastAsia="宋体"/>
          <w:kern w:val="0"/>
          <w:szCs w:val="20"/>
        </w:rPr>
        <w:t>本方法应由有试验经验人员进行样品的制备和红外光谱的分析。为获得更好的结果, 按照产品说明书操作光谱仪。本标准中不包括红外光谱仪的详细操作说明。</w:t>
      </w:r>
    </w:p>
    <w:p w14:paraId="1E46BBE7">
      <w:pPr>
        <w:widowControl/>
        <w:tabs>
          <w:tab w:val="center" w:pos="4201"/>
          <w:tab w:val="right" w:leader="dot" w:pos="9298"/>
        </w:tabs>
        <w:autoSpaceDE w:val="0"/>
        <w:autoSpaceDN w:val="0"/>
        <w:spacing w:line="240" w:lineRule="auto"/>
        <w:rPr>
          <w:rFonts w:eastAsia="宋体"/>
          <w:kern w:val="0"/>
          <w:szCs w:val="20"/>
        </w:rPr>
      </w:pPr>
      <w:r>
        <w:rPr>
          <w:rFonts w:eastAsia="宋体"/>
          <w:kern w:val="0"/>
          <w:szCs w:val="20"/>
        </w:rPr>
        <w:t>本方法仅适用于定性分析。</w:t>
      </w:r>
      <w:bookmarkStart w:id="33" w:name="_Toc47096265"/>
      <w:bookmarkStart w:id="34" w:name="_Toc47546553"/>
      <w:bookmarkStart w:id="35" w:name="_Toc37256413"/>
      <w:bookmarkStart w:id="36" w:name="_Toc37259759"/>
      <w:bookmarkStart w:id="37" w:name="_Toc52122399"/>
      <w:bookmarkStart w:id="38" w:name="_Toc104306821"/>
      <w:bookmarkStart w:id="39" w:name="_Toc40349440"/>
      <w:bookmarkStart w:id="40" w:name="_Toc11145"/>
      <w:bookmarkStart w:id="41" w:name="_Toc37666087"/>
      <w:bookmarkStart w:id="42" w:name="_Toc40344642"/>
      <w:bookmarkStart w:id="43" w:name="_Toc104306274"/>
      <w:bookmarkStart w:id="44" w:name="_Toc37235250"/>
      <w:bookmarkStart w:id="45" w:name="_Toc37260780"/>
      <w:bookmarkStart w:id="46" w:name="_Toc104307058"/>
      <w:bookmarkStart w:id="47" w:name="_Toc37598365"/>
      <w:bookmarkStart w:id="48" w:name="_Toc104308205"/>
    </w:p>
    <w:p w14:paraId="2E34A202">
      <w:pPr>
        <w:pStyle w:val="2"/>
        <w:spacing w:before="312" w:beforeLines="100" w:after="312" w:afterLines="100" w:line="240" w:lineRule="auto"/>
        <w:ind w:firstLineChars="0"/>
      </w:pPr>
      <w:bookmarkStart w:id="49" w:name="_Toc26018"/>
      <w:r>
        <w:rPr>
          <w:rFonts w:hint="eastAsia"/>
        </w:rPr>
        <w:t>规范性引用文件</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FC2C62">
      <w:pPr>
        <w:widowControl/>
        <w:tabs>
          <w:tab w:val="center" w:pos="4201"/>
          <w:tab w:val="right" w:leader="dot" w:pos="9298"/>
        </w:tabs>
        <w:autoSpaceDE w:val="0"/>
        <w:autoSpaceDN w:val="0"/>
        <w:spacing w:line="240" w:lineRule="auto"/>
        <w:rPr>
          <w:rFonts w:eastAsia="宋体"/>
          <w:kern w:val="0"/>
          <w:szCs w:val="20"/>
        </w:rPr>
      </w:pPr>
      <w:r>
        <w:rPr>
          <w:rFonts w:eastAsia="宋体"/>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87F98A9">
      <w:pPr>
        <w:spacing w:line="240" w:lineRule="auto"/>
        <w:jc w:val="left"/>
        <w:rPr>
          <w:rFonts w:eastAsia="宋体"/>
        </w:rPr>
      </w:pPr>
      <w:r>
        <w:rPr>
          <w:rFonts w:hint="eastAsia" w:eastAsia="宋体"/>
        </w:rPr>
        <w:t>GB/T 2035-2024 塑料术语及定义</w:t>
      </w:r>
    </w:p>
    <w:p w14:paraId="1E704E5E">
      <w:pPr>
        <w:spacing w:line="240" w:lineRule="auto"/>
        <w:jc w:val="left"/>
        <w:rPr>
          <w:rFonts w:eastAsia="宋体"/>
        </w:rPr>
      </w:pPr>
      <w:r>
        <w:rPr>
          <w:rFonts w:hint="eastAsia" w:eastAsia="宋体"/>
        </w:rPr>
        <w:t>GB/T</w:t>
      </w:r>
      <w:r>
        <w:rPr>
          <w:rFonts w:eastAsia="宋体"/>
        </w:rPr>
        <w:t xml:space="preserve"> </w:t>
      </w:r>
      <w:r>
        <w:rPr>
          <w:rFonts w:hint="eastAsia" w:eastAsia="宋体"/>
        </w:rPr>
        <w:t>6040红外光谱分析方法通则</w:t>
      </w:r>
    </w:p>
    <w:p w14:paraId="7C9579D9">
      <w:pPr>
        <w:spacing w:line="240" w:lineRule="auto"/>
        <w:jc w:val="left"/>
        <w:rPr>
          <w:rFonts w:eastAsia="宋体"/>
        </w:rPr>
      </w:pPr>
      <w:r>
        <w:rPr>
          <w:rFonts w:hint="eastAsia" w:eastAsia="宋体"/>
        </w:rPr>
        <w:t>GB</w:t>
      </w:r>
      <w:r>
        <w:rPr>
          <w:rFonts w:eastAsia="宋体"/>
        </w:rPr>
        <w:t>/</w:t>
      </w:r>
      <w:r>
        <w:rPr>
          <w:rFonts w:hint="eastAsia" w:eastAsia="宋体"/>
        </w:rPr>
        <w:t>T</w:t>
      </w:r>
      <w:r>
        <w:rPr>
          <w:rFonts w:eastAsia="宋体"/>
        </w:rPr>
        <w:t xml:space="preserve"> </w:t>
      </w:r>
      <w:r>
        <w:rPr>
          <w:rFonts w:hint="eastAsia" w:eastAsia="宋体"/>
        </w:rPr>
        <w:t>16288 塑料制品的标志</w:t>
      </w:r>
    </w:p>
    <w:p w14:paraId="27EC01BB">
      <w:pPr>
        <w:pStyle w:val="2"/>
        <w:spacing w:before="312" w:beforeLines="100" w:after="312" w:afterLines="100" w:line="240" w:lineRule="auto"/>
        <w:ind w:firstLineChars="0"/>
      </w:pPr>
      <w:bookmarkStart w:id="50" w:name="_Toc31087"/>
      <w:r>
        <w:rPr>
          <w:rFonts w:hint="eastAsia"/>
        </w:rPr>
        <w:t>术语和定义</w:t>
      </w:r>
      <w:bookmarkEnd w:id="50"/>
    </w:p>
    <w:p w14:paraId="62520DFF">
      <w:pPr>
        <w:pStyle w:val="6"/>
        <w:tabs>
          <w:tab w:val="clear" w:pos="4201"/>
          <w:tab w:val="clear" w:pos="9298"/>
        </w:tabs>
        <w:spacing w:line="360" w:lineRule="auto"/>
        <w:rPr>
          <w:rFonts w:ascii="Times New Roman"/>
          <w:szCs w:val="21"/>
        </w:rPr>
      </w:pPr>
      <w:r>
        <w:rPr>
          <w:rFonts w:hint="eastAsia" w:ascii="Times New Roman"/>
          <w:szCs w:val="21"/>
        </w:rPr>
        <w:t>下列术语和定义适用于本文件。</w:t>
      </w:r>
    </w:p>
    <w:p w14:paraId="3F941542">
      <w:pPr>
        <w:spacing w:before="156" w:beforeLines="50" w:after="156" w:afterLines="50" w:line="240" w:lineRule="auto"/>
        <w:ind w:firstLine="0" w:firstLineChars="0"/>
      </w:pPr>
      <w:r>
        <w:t>3.</w:t>
      </w:r>
      <w:r>
        <w:rPr>
          <w:rFonts w:hint="eastAsia"/>
        </w:rPr>
        <w:t>1</w:t>
      </w:r>
      <w:r>
        <w:t xml:space="preserve"> </w:t>
      </w:r>
    </w:p>
    <w:p w14:paraId="51951DA4">
      <w:pPr>
        <w:pStyle w:val="6"/>
        <w:spacing w:before="156" w:beforeLines="50" w:after="156" w:afterLines="50"/>
        <w:rPr>
          <w:rFonts w:ascii="Times New Roman"/>
          <w:szCs w:val="21"/>
        </w:rPr>
      </w:pPr>
      <w:r>
        <w:rPr>
          <w:rFonts w:hint="eastAsia" w:ascii="黑体" w:hAnsi="黑体" w:eastAsia="黑体"/>
        </w:rPr>
        <w:t>合成树脂</w:t>
      </w:r>
      <w:r>
        <w:rPr>
          <w:rFonts w:ascii="Times New Roman"/>
          <w:szCs w:val="21"/>
        </w:rPr>
        <w:t xml:space="preserve">  </w:t>
      </w:r>
      <w:r>
        <w:rPr>
          <w:rFonts w:hint="eastAsia" w:ascii="Times New Roman"/>
          <w:szCs w:val="21"/>
        </w:rPr>
        <w:t>synthetic resin</w:t>
      </w:r>
    </w:p>
    <w:p w14:paraId="792D94C9">
      <w:pPr>
        <w:pStyle w:val="6"/>
        <w:tabs>
          <w:tab w:val="clear" w:pos="4201"/>
          <w:tab w:val="clear" w:pos="9298"/>
        </w:tabs>
        <w:rPr>
          <w:rFonts w:ascii="Times New Roman"/>
          <w:szCs w:val="21"/>
        </w:rPr>
      </w:pPr>
      <w:r>
        <w:rPr>
          <w:rFonts w:hint="eastAsia" w:ascii="Times New Roman"/>
          <w:szCs w:val="21"/>
        </w:rPr>
        <w:t>以石油、天然气、煤等天然资源或生物质为原料，通过化学合成方法（如聚合反应、缩聚反应等）制得的一类具有可塑性的高分子化合物。</w:t>
      </w:r>
    </w:p>
    <w:p w14:paraId="59C76365">
      <w:pPr>
        <w:pStyle w:val="6"/>
        <w:tabs>
          <w:tab w:val="clear" w:pos="4201"/>
          <w:tab w:val="clear" w:pos="9298"/>
        </w:tabs>
        <w:spacing w:before="156" w:beforeLines="50" w:after="156" w:afterLines="50"/>
        <w:ind w:firstLine="0" w:firstLineChars="0"/>
        <w:rPr>
          <w:rFonts w:ascii="Times New Roman"/>
          <w:szCs w:val="21"/>
        </w:rPr>
      </w:pPr>
      <w:r>
        <w:rPr>
          <w:rFonts w:hint="eastAsia" w:ascii="Times New Roman"/>
          <w:szCs w:val="21"/>
        </w:rPr>
        <w:t>3</w:t>
      </w:r>
      <w:r>
        <w:rPr>
          <w:rFonts w:ascii="Times New Roman"/>
          <w:szCs w:val="21"/>
        </w:rPr>
        <w:t>.</w:t>
      </w:r>
      <w:r>
        <w:rPr>
          <w:rFonts w:hint="eastAsia" w:ascii="Times New Roman"/>
          <w:szCs w:val="21"/>
        </w:rPr>
        <w:t>2</w:t>
      </w:r>
    </w:p>
    <w:p w14:paraId="06E5EA69">
      <w:pPr>
        <w:pStyle w:val="6"/>
        <w:spacing w:before="156" w:beforeLines="50" w:after="156" w:afterLines="50"/>
        <w:rPr>
          <w:rFonts w:ascii="Times New Roman" w:eastAsia="黑体"/>
          <w:szCs w:val="21"/>
        </w:rPr>
      </w:pPr>
      <w:r>
        <w:rPr>
          <w:rFonts w:hint="eastAsia" w:ascii="Times New Roman" w:eastAsia="黑体"/>
          <w:szCs w:val="21"/>
        </w:rPr>
        <w:t>建筑塑料制品</w:t>
      </w:r>
      <w:r>
        <w:rPr>
          <w:rFonts w:ascii="Times New Roman" w:eastAsia="黑体"/>
          <w:szCs w:val="21"/>
        </w:rPr>
        <w:t xml:space="preserve"> </w:t>
      </w:r>
      <w:r>
        <w:rPr>
          <w:rFonts w:hint="eastAsia" w:ascii="Times New Roman" w:eastAsia="黑体"/>
          <w:szCs w:val="21"/>
        </w:rPr>
        <w:t>building plastic products</w:t>
      </w:r>
    </w:p>
    <w:p w14:paraId="0B4E6E1D">
      <w:pPr>
        <w:spacing w:line="240" w:lineRule="auto"/>
      </w:pPr>
      <w:r>
        <w:rPr>
          <w:rFonts w:hint="eastAsia"/>
        </w:rPr>
        <w:t>以高分子合成树脂为主要原料，添加必要的助剂（如增塑剂、稳定剂、填充剂、着色剂等），经挤出、注塑、吹塑、模压等加工工艺制成，专门用于建筑物及构筑物的建造、装饰、维护、功能提升等建筑领域的各类制品。</w:t>
      </w:r>
    </w:p>
    <w:p w14:paraId="1A5A89A5">
      <w:pPr>
        <w:pStyle w:val="2"/>
        <w:spacing w:before="312" w:beforeLines="100" w:after="312" w:afterLines="100" w:line="240" w:lineRule="auto"/>
        <w:ind w:firstLineChars="0"/>
      </w:pPr>
      <w:bookmarkStart w:id="51" w:name="_Toc12896"/>
      <w:bookmarkStart w:id="52" w:name="_Toc11682036"/>
      <w:bookmarkStart w:id="53" w:name="_Toc30004"/>
      <w:bookmarkStart w:id="54" w:name="_Toc35352692"/>
      <w:bookmarkStart w:id="55" w:name="_Toc27567223"/>
      <w:bookmarkStart w:id="56" w:name="_Toc27566896"/>
      <w:bookmarkStart w:id="57" w:name="_Toc36282338"/>
      <w:r>
        <w:rPr>
          <w:rFonts w:hint="eastAsia"/>
        </w:rPr>
        <w:t>原理</w:t>
      </w:r>
      <w:bookmarkEnd w:id="51"/>
    </w:p>
    <w:p w14:paraId="45AEC5D6">
      <w:pPr>
        <w:pStyle w:val="3"/>
        <w:spacing w:before="156" w:beforeLines="50" w:after="156" w:afterLines="50" w:line="240" w:lineRule="auto"/>
        <w:ind w:firstLineChars="0"/>
      </w:pPr>
      <w:r>
        <w:rPr>
          <w:rFonts w:hint="eastAsia"/>
        </w:rPr>
        <w:t>衰减全反射法（ATR）</w:t>
      </w:r>
    </w:p>
    <w:p w14:paraId="6D027A10">
      <w:pPr>
        <w:spacing w:line="240" w:lineRule="auto"/>
      </w:pPr>
      <w:r>
        <w:rPr>
          <w:rFonts w:hint="eastAsia"/>
        </w:rPr>
        <w:t>本方法直接应用于塑料制品的分析，用于高吸收样品或样品表面的测定。红外光以大于临界角的角度入射到紧贴在样品表面的高折射指数晶体时，由于样品折光指数低于晶体，发生全反射，红外光只进入样品极浅的表层，只有某些频率被吸收，测量这一被衰减了的辐射即得到样品的衰减全反射光谱。增塑剂、阻燃剂或无机填料的存在可能影响衰减全反射法的光谱分析。</w:t>
      </w:r>
    </w:p>
    <w:p w14:paraId="7544605E">
      <w:pPr>
        <w:pStyle w:val="3"/>
        <w:spacing w:before="156" w:beforeLines="50" w:after="156" w:afterLines="50" w:line="240" w:lineRule="auto"/>
        <w:ind w:firstLineChars="0"/>
      </w:pPr>
      <w:r>
        <w:rPr>
          <w:rFonts w:hint="eastAsia"/>
        </w:rPr>
        <w:t>透射分析法</w:t>
      </w:r>
    </w:p>
    <w:p w14:paraId="18013138">
      <w:pPr>
        <w:spacing w:line="240" w:lineRule="auto"/>
      </w:pPr>
      <w:r>
        <w:rPr>
          <w:rFonts w:hint="eastAsia"/>
        </w:rPr>
        <w:t>本方法</w:t>
      </w:r>
      <w:r>
        <w:t>基于分子对红外光的选择性吸收特性，通过测量红外光穿过样品后</w:t>
      </w:r>
      <w:r>
        <w:rPr>
          <w:rFonts w:hint="eastAsia"/>
        </w:rPr>
        <w:t>不同频率</w:t>
      </w:r>
      <w:r>
        <w:t>光的透射强度变化</w:t>
      </w:r>
      <w:r>
        <w:rPr>
          <w:rFonts w:hint="eastAsia"/>
        </w:rPr>
        <w:t>得到样品的红外透射光谱，</w:t>
      </w:r>
      <w:r>
        <w:t>获取</w:t>
      </w:r>
      <w:r>
        <w:rPr>
          <w:rFonts w:hint="eastAsia"/>
        </w:rPr>
        <w:t>合成树脂高</w:t>
      </w:r>
      <w:r>
        <w:t>分子结构信息</w:t>
      </w:r>
      <w:r>
        <w:rPr>
          <w:rFonts w:hint="eastAsia"/>
        </w:rPr>
        <w:t>。适用于可经溴化钾压片、熔融制膜、溶剂涂膜等方式进行制样的塑料制品。</w:t>
      </w:r>
    </w:p>
    <w:bookmarkEnd w:id="52"/>
    <w:bookmarkEnd w:id="53"/>
    <w:bookmarkEnd w:id="54"/>
    <w:bookmarkEnd w:id="55"/>
    <w:bookmarkEnd w:id="56"/>
    <w:bookmarkEnd w:id="57"/>
    <w:p w14:paraId="660E372F">
      <w:pPr>
        <w:pStyle w:val="2"/>
        <w:spacing w:before="312" w:beforeLines="100" w:after="312" w:afterLines="100" w:line="240" w:lineRule="auto"/>
        <w:ind w:firstLineChars="0"/>
      </w:pPr>
      <w:bookmarkStart w:id="58" w:name="_Toc6708"/>
      <w:r>
        <w:rPr>
          <w:rFonts w:hint="eastAsia"/>
        </w:rPr>
        <w:t>仪器设备与材料</w:t>
      </w:r>
      <w:bookmarkEnd w:id="58"/>
    </w:p>
    <w:p w14:paraId="68CCFA15">
      <w:pPr>
        <w:pStyle w:val="3"/>
        <w:spacing w:before="156" w:beforeLines="50" w:after="156" w:afterLines="50" w:line="240" w:lineRule="auto"/>
        <w:ind w:firstLineChars="0"/>
      </w:pPr>
      <w:r>
        <w:rPr>
          <w:rFonts w:hint="eastAsia"/>
        </w:rPr>
        <w:t>傅里叶变换红外光谱仪</w:t>
      </w:r>
    </w:p>
    <w:p w14:paraId="3EC6E130">
      <w:pPr>
        <w:spacing w:line="240" w:lineRule="auto"/>
      </w:pPr>
      <w:r>
        <w:t>波数范围为4000 cm</w:t>
      </w:r>
      <w:r>
        <w:rPr>
          <w:vertAlign w:val="superscript"/>
        </w:rPr>
        <w:t>-1</w:t>
      </w:r>
      <w:r>
        <w:t>~400 cm</w:t>
      </w:r>
      <w:r>
        <w:rPr>
          <w:vertAlign w:val="superscript"/>
        </w:rPr>
        <w:t>-1</w:t>
      </w:r>
      <w:r>
        <w:t>，光谱分辨率为4 cm</w:t>
      </w:r>
      <w:r>
        <w:rPr>
          <w:vertAlign w:val="superscript"/>
        </w:rPr>
        <w:t>-1</w:t>
      </w:r>
      <w:r>
        <w:t>或更高，配有反射晶体（例如金刚石、ZnSe、Ge）的ATR附件。</w:t>
      </w:r>
    </w:p>
    <w:p w14:paraId="0A7BB1A2">
      <w:pPr>
        <w:pStyle w:val="3"/>
        <w:spacing w:before="156" w:beforeLines="50" w:after="156" w:afterLines="50" w:line="240" w:lineRule="auto"/>
        <w:ind w:firstLineChars="0"/>
      </w:pPr>
      <w:r>
        <w:rPr>
          <w:rFonts w:hint="eastAsia"/>
        </w:rPr>
        <w:t>压片机</w:t>
      </w:r>
    </w:p>
    <w:p w14:paraId="25BF7CE3">
      <w:pPr>
        <w:spacing w:line="240" w:lineRule="auto"/>
      </w:pPr>
      <w:r>
        <w:rPr>
          <w:rFonts w:hint="eastAsia"/>
        </w:rPr>
        <w:t>带有加热附件，可用于塑料制品的热压成膜。</w:t>
      </w:r>
    </w:p>
    <w:p w14:paraId="0B4B64E9">
      <w:pPr>
        <w:pStyle w:val="3"/>
        <w:spacing w:before="156" w:beforeLines="50" w:after="156" w:afterLines="50" w:line="240" w:lineRule="auto"/>
        <w:ind w:firstLineChars="0"/>
      </w:pPr>
      <w:r>
        <w:rPr>
          <w:rFonts w:hint="eastAsia"/>
        </w:rPr>
        <w:t>电热鼓风干燥箱</w:t>
      </w:r>
    </w:p>
    <w:p w14:paraId="440C7CEC">
      <w:pPr>
        <w:pStyle w:val="3"/>
        <w:spacing w:before="156" w:beforeLines="50" w:after="156" w:afterLines="50" w:line="240" w:lineRule="auto"/>
        <w:ind w:firstLineChars="0"/>
      </w:pPr>
      <w:r>
        <w:rPr>
          <w:rFonts w:hint="eastAsia"/>
        </w:rPr>
        <w:t>分析天平</w:t>
      </w:r>
    </w:p>
    <w:p w14:paraId="769A0883">
      <w:pPr>
        <w:spacing w:line="240" w:lineRule="auto"/>
        <w:rPr>
          <w:rFonts w:eastAsia="宋体"/>
          <w:bCs/>
          <w:szCs w:val="24"/>
        </w:rPr>
      </w:pPr>
      <w:r>
        <w:rPr>
          <w:rFonts w:hint="eastAsia" w:eastAsia="宋体"/>
          <w:bCs/>
          <w:szCs w:val="24"/>
        </w:rPr>
        <w:t>感量0.1mg。</w:t>
      </w:r>
    </w:p>
    <w:p w14:paraId="25581D08">
      <w:pPr>
        <w:pStyle w:val="3"/>
        <w:spacing w:before="156" w:beforeLines="50" w:after="156" w:afterLines="50" w:line="240" w:lineRule="auto"/>
        <w:ind w:firstLineChars="0"/>
      </w:pPr>
      <w:r>
        <w:rPr>
          <w:rFonts w:hint="eastAsia"/>
        </w:rPr>
        <w:t>溴化钾及溴化钾窗片</w:t>
      </w:r>
    </w:p>
    <w:p w14:paraId="316EC6C2">
      <w:pPr>
        <w:spacing w:line="240" w:lineRule="auto"/>
      </w:pPr>
      <w:r>
        <w:rPr>
          <w:rFonts w:hint="eastAsia"/>
        </w:rPr>
        <w:t>光谱纯。也可以使用在</w:t>
      </w:r>
      <w:r>
        <w:t>4000 cm</w:t>
      </w:r>
      <w:r>
        <w:rPr>
          <w:vertAlign w:val="superscript"/>
        </w:rPr>
        <w:t>-1</w:t>
      </w:r>
      <w:r>
        <w:t>~400 cm</w:t>
      </w:r>
      <w:r>
        <w:rPr>
          <w:vertAlign w:val="superscript"/>
        </w:rPr>
        <w:t>-1</w:t>
      </w:r>
      <w:r>
        <w:rPr>
          <w:rFonts w:hint="eastAsia"/>
        </w:rPr>
        <w:t>范围内有足够红外透射性的其他材料。</w:t>
      </w:r>
    </w:p>
    <w:p w14:paraId="293EBEC9">
      <w:pPr>
        <w:pStyle w:val="3"/>
        <w:spacing w:before="156" w:beforeLines="50" w:after="156" w:afterLines="50" w:line="240" w:lineRule="auto"/>
        <w:ind w:firstLineChars="0"/>
      </w:pPr>
      <w:r>
        <w:rPr>
          <w:rFonts w:hint="eastAsia"/>
        </w:rPr>
        <w:t>玛瑙研钵</w:t>
      </w:r>
    </w:p>
    <w:p w14:paraId="22B3C027">
      <w:pPr>
        <w:pStyle w:val="2"/>
        <w:spacing w:before="312" w:beforeLines="100" w:after="312" w:afterLines="100" w:line="240" w:lineRule="auto"/>
        <w:ind w:firstLineChars="0"/>
      </w:pPr>
      <w:bookmarkStart w:id="59" w:name="_Toc104307060"/>
      <w:bookmarkStart w:id="60" w:name="_Toc104306276"/>
      <w:bookmarkStart w:id="61" w:name="_Toc7089"/>
      <w:bookmarkStart w:id="62" w:name="_Toc104308207"/>
      <w:bookmarkStart w:id="63" w:name="_Toc104306823"/>
      <w:r>
        <w:rPr>
          <w:rFonts w:hint="eastAsia"/>
        </w:rPr>
        <w:t>样品制备</w:t>
      </w:r>
      <w:bookmarkEnd w:id="59"/>
      <w:bookmarkEnd w:id="60"/>
      <w:bookmarkEnd w:id="61"/>
      <w:bookmarkEnd w:id="62"/>
      <w:bookmarkEnd w:id="63"/>
    </w:p>
    <w:p w14:paraId="25292C37">
      <w:pPr>
        <w:spacing w:line="240" w:lineRule="auto"/>
      </w:pPr>
      <w:r>
        <w:rPr>
          <w:rFonts w:hint="eastAsia"/>
        </w:rPr>
        <w:t>进行红外光谱分析时，应依照分析目的、样品的状态、分析方法等选择合适的样品制备方法。</w:t>
      </w:r>
    </w:p>
    <w:p w14:paraId="389B78AC">
      <w:pPr>
        <w:pStyle w:val="3"/>
        <w:spacing w:before="156" w:beforeLines="50" w:after="156" w:afterLines="50" w:line="240" w:lineRule="auto"/>
        <w:ind w:firstLineChars="0"/>
      </w:pPr>
      <w:r>
        <w:rPr>
          <w:rFonts w:hint="eastAsia"/>
        </w:rPr>
        <w:t>样品分离</w:t>
      </w:r>
    </w:p>
    <w:p w14:paraId="33522E00">
      <w:pPr>
        <w:pStyle w:val="4"/>
        <w:spacing w:before="156" w:beforeLines="50" w:after="156" w:afterLines="50" w:line="240" w:lineRule="auto"/>
      </w:pPr>
      <w:r>
        <w:rPr>
          <w:rFonts w:hint="eastAsia"/>
        </w:rPr>
        <w:t>机械分离</w:t>
      </w:r>
    </w:p>
    <w:p w14:paraId="50C62A37">
      <w:pPr>
        <w:spacing w:line="240" w:lineRule="auto"/>
      </w:pPr>
      <w:r>
        <w:rPr>
          <w:rFonts w:hint="eastAsia"/>
        </w:rPr>
        <w:t>目视或将待测样品置于放大镜下，用针或刀片进行待测部位的剥离或分离。被分离出的待测部位，如附着灰尘或胶水等物，可用蒸馏水或有机溶剂清洗。</w:t>
      </w:r>
    </w:p>
    <w:p w14:paraId="43E29580">
      <w:pPr>
        <w:pStyle w:val="4"/>
        <w:spacing w:before="156" w:beforeLines="50" w:after="156" w:afterLines="50" w:line="240" w:lineRule="auto"/>
      </w:pPr>
      <w:r>
        <w:rPr>
          <w:rFonts w:hint="eastAsia"/>
        </w:rPr>
        <w:t>溶解分离</w:t>
      </w:r>
    </w:p>
    <w:p w14:paraId="5D727333">
      <w:pPr>
        <w:spacing w:line="240" w:lineRule="auto"/>
      </w:pPr>
      <w:r>
        <w:rPr>
          <w:rFonts w:hint="eastAsia"/>
        </w:rPr>
        <w:t>有丙酮、三氯甲烷等有机溶剂可以在一定条件下将塑料制品中的助剂和树脂组分溶解，经溶剂抽出、溶解等过程，通过离心和沉淀分离可得到含有待测树脂组分的溶液。</w:t>
      </w:r>
    </w:p>
    <w:p w14:paraId="365D0E69">
      <w:pPr>
        <w:pStyle w:val="4"/>
        <w:spacing w:before="156" w:beforeLines="50" w:after="156" w:afterLines="50" w:line="240" w:lineRule="auto"/>
      </w:pPr>
      <w:r>
        <w:rPr>
          <w:rFonts w:hint="eastAsia"/>
        </w:rPr>
        <w:t>热解分离</w:t>
      </w:r>
    </w:p>
    <w:p w14:paraId="4B302148">
      <w:pPr>
        <w:spacing w:line="240" w:lineRule="auto"/>
      </w:pPr>
      <w:r>
        <w:rPr>
          <w:rFonts w:hint="eastAsia"/>
        </w:rPr>
        <w:t>适用于含大量填料的塑料制品、固化的塑料制品等难以用常规方法分离的样品，可采用干馏法和控温热解法进行热解分离。</w:t>
      </w:r>
    </w:p>
    <w:p w14:paraId="357B5F87">
      <w:pPr>
        <w:pStyle w:val="3"/>
        <w:spacing w:before="156" w:beforeLines="50" w:after="156" w:afterLines="50" w:line="240" w:lineRule="auto"/>
        <w:ind w:firstLineChars="0"/>
      </w:pPr>
      <w:r>
        <w:rPr>
          <w:rFonts w:hint="eastAsia"/>
        </w:rPr>
        <w:t>制样</w:t>
      </w:r>
    </w:p>
    <w:p w14:paraId="3A27657E">
      <w:pPr>
        <w:pStyle w:val="4"/>
        <w:spacing w:before="156" w:beforeLines="50" w:after="156" w:afterLines="50" w:line="240" w:lineRule="auto"/>
      </w:pPr>
      <w:r>
        <w:rPr>
          <w:rFonts w:hint="eastAsia"/>
        </w:rPr>
        <w:t>压片法</w:t>
      </w:r>
    </w:p>
    <w:p w14:paraId="4432E851">
      <w:pPr>
        <w:spacing w:line="240" w:lineRule="auto"/>
      </w:pPr>
      <w:r>
        <w:rPr>
          <w:rFonts w:hint="eastAsia"/>
        </w:rPr>
        <w:t>将试样用液氮冷冻或机械破碎的方式碎成粉末，过筛后在研钵中与溴化钾混合，研磨均匀，使用压片装置，压制成透明片状，使用透射分析法进行测试。</w:t>
      </w:r>
    </w:p>
    <w:p w14:paraId="489AA9CB">
      <w:pPr>
        <w:pStyle w:val="4"/>
        <w:spacing w:before="156" w:beforeLines="50" w:after="156" w:afterLines="50" w:line="240" w:lineRule="auto"/>
      </w:pPr>
      <w:r>
        <w:rPr>
          <w:rFonts w:hint="eastAsia"/>
        </w:rPr>
        <w:t>薄膜法</w:t>
      </w:r>
    </w:p>
    <w:p w14:paraId="79A0A1B3">
      <w:pPr>
        <w:spacing w:line="240" w:lineRule="auto"/>
      </w:pPr>
      <w:r>
        <w:rPr>
          <w:rFonts w:hint="eastAsia"/>
        </w:rPr>
        <w:t>对于热塑性塑料，可以使用熔融制膜、溶剂涂膜等方式进行制样：</w:t>
      </w:r>
    </w:p>
    <w:p w14:paraId="3EDE8D68">
      <w:pPr>
        <w:numPr>
          <w:ilvl w:val="0"/>
          <w:numId w:val="10"/>
        </w:numPr>
        <w:spacing w:line="240" w:lineRule="auto"/>
      </w:pPr>
      <w:r>
        <w:rPr>
          <w:rFonts w:hint="eastAsia"/>
        </w:rPr>
        <w:t>使用带加热功能的压片机，将试样用光滑的铝箔夹住，加热到熔化后压成薄膜，冷却后去除膜直接测试；</w:t>
      </w:r>
    </w:p>
    <w:p w14:paraId="07DE6D78">
      <w:pPr>
        <w:numPr>
          <w:ilvl w:val="0"/>
          <w:numId w:val="10"/>
        </w:numPr>
        <w:spacing w:line="240" w:lineRule="auto"/>
      </w:pPr>
      <w:r>
        <w:rPr>
          <w:rFonts w:hint="eastAsia"/>
        </w:rPr>
        <w:t>溶剂涂膜法：将6.1.2中得到的溶解有待测树脂组分的溶液滴在溴化钾等具有红外透过性的窗片上，烘干后得到薄膜。溶解塑料推荐使用的溶剂见附录A。</w:t>
      </w:r>
    </w:p>
    <w:p w14:paraId="0783BD67">
      <w:pPr>
        <w:pStyle w:val="4"/>
        <w:spacing w:before="156" w:beforeLines="50" w:after="156" w:afterLines="50" w:line="240" w:lineRule="auto"/>
      </w:pPr>
      <w:r>
        <w:rPr>
          <w:rFonts w:hint="eastAsia"/>
        </w:rPr>
        <w:t>衰减全反射法</w:t>
      </w:r>
    </w:p>
    <w:p w14:paraId="6165B73B">
      <w:pPr>
        <w:spacing w:line="240" w:lineRule="auto"/>
      </w:pPr>
      <w:r>
        <w:rPr>
          <w:rFonts w:hint="eastAsia"/>
        </w:rPr>
        <w:t>将样品待测的部位紧贴在ATR晶体上，使样品与晶体充分接触，通过衰减全反射法进行测试。本方法主要用于测定难以溶解、熔化或难以粉碎的样品。</w:t>
      </w:r>
    </w:p>
    <w:p w14:paraId="14E6BBB8">
      <w:pPr>
        <w:pStyle w:val="4"/>
        <w:spacing w:before="156" w:beforeLines="50" w:after="156" w:afterLines="50" w:line="240" w:lineRule="auto"/>
      </w:pPr>
      <w:r>
        <w:rPr>
          <w:rFonts w:hint="eastAsia"/>
        </w:rPr>
        <w:t>其他方法</w:t>
      </w:r>
    </w:p>
    <w:p w14:paraId="23105CE0">
      <w:pPr>
        <w:spacing w:line="240" w:lineRule="auto"/>
      </w:pPr>
      <w:r>
        <w:rPr>
          <w:rFonts w:hint="eastAsia"/>
        </w:rPr>
        <w:t>配备有红外显微镜装置的设备可以根据样品性质选择透射、反射模式直接置于显微镜下测试。</w:t>
      </w:r>
    </w:p>
    <w:p w14:paraId="298FE2D2">
      <w:pPr>
        <w:spacing w:line="240" w:lineRule="auto"/>
      </w:pPr>
      <w:r>
        <w:rPr>
          <w:rFonts w:hint="eastAsia"/>
        </w:rPr>
        <w:t>无法用红外光谱直接分析的样品可选用热重、气相色谱等联用装置。</w:t>
      </w:r>
    </w:p>
    <w:p w14:paraId="3E4B7B34">
      <w:pPr>
        <w:pStyle w:val="2"/>
        <w:spacing w:before="312" w:beforeLines="100" w:after="312" w:afterLines="100" w:line="240" w:lineRule="auto"/>
        <w:ind w:firstLineChars="0"/>
      </w:pPr>
      <w:bookmarkStart w:id="64" w:name="_Toc22908"/>
      <w:r>
        <w:rPr>
          <w:rFonts w:hint="eastAsia"/>
        </w:rPr>
        <w:t>试验步骤</w:t>
      </w:r>
      <w:bookmarkEnd w:id="64"/>
    </w:p>
    <w:p w14:paraId="7239D08A">
      <w:pPr>
        <w:pStyle w:val="3"/>
        <w:ind w:firstLineChars="0"/>
      </w:pPr>
      <w:r>
        <w:rPr>
          <w:rFonts w:hint="eastAsia"/>
        </w:rPr>
        <w:t>仪器校正与参数设定</w:t>
      </w:r>
    </w:p>
    <w:p w14:paraId="27D0B65E">
      <w:pPr>
        <w:widowControl/>
        <w:tabs>
          <w:tab w:val="center" w:pos="4201"/>
          <w:tab w:val="right" w:leader="dot" w:pos="9298"/>
        </w:tabs>
        <w:autoSpaceDE w:val="0"/>
        <w:autoSpaceDN w:val="0"/>
        <w:spacing w:line="240" w:lineRule="auto"/>
        <w:rPr>
          <w:kern w:val="0"/>
          <w:szCs w:val="20"/>
        </w:rPr>
      </w:pPr>
      <w:r>
        <w:rPr>
          <w:kern w:val="0"/>
          <w:szCs w:val="20"/>
        </w:rPr>
        <w:t>红外光谱仪的校正与测定操作按照GB/T 6040-2019中6.2和6.3的规定进行。检测参数参考条件如下：</w:t>
      </w:r>
    </w:p>
    <w:p w14:paraId="62E0DDA0">
      <w:pPr>
        <w:widowControl/>
        <w:numPr>
          <w:ilvl w:val="0"/>
          <w:numId w:val="11"/>
        </w:numPr>
        <w:tabs>
          <w:tab w:val="center" w:pos="4201"/>
          <w:tab w:val="right" w:leader="dot" w:pos="9298"/>
        </w:tabs>
        <w:autoSpaceDE w:val="0"/>
        <w:autoSpaceDN w:val="0"/>
        <w:spacing w:line="240" w:lineRule="auto"/>
        <w:rPr>
          <w:kern w:val="0"/>
          <w:szCs w:val="20"/>
        </w:rPr>
      </w:pPr>
      <w:r>
        <w:rPr>
          <w:kern w:val="0"/>
          <w:szCs w:val="20"/>
        </w:rPr>
        <w:t>分辨率：4 cm</w:t>
      </w:r>
      <w:r>
        <w:rPr>
          <w:kern w:val="0"/>
          <w:szCs w:val="20"/>
          <w:vertAlign w:val="superscript"/>
        </w:rPr>
        <w:t>-1</w:t>
      </w:r>
      <w:r>
        <w:rPr>
          <w:kern w:val="0"/>
          <w:szCs w:val="20"/>
        </w:rPr>
        <w:t>；</w:t>
      </w:r>
    </w:p>
    <w:p w14:paraId="390D450F">
      <w:pPr>
        <w:widowControl/>
        <w:numPr>
          <w:ilvl w:val="0"/>
          <w:numId w:val="11"/>
        </w:numPr>
        <w:tabs>
          <w:tab w:val="center" w:pos="4201"/>
          <w:tab w:val="right" w:leader="dot" w:pos="9298"/>
        </w:tabs>
        <w:autoSpaceDE w:val="0"/>
        <w:autoSpaceDN w:val="0"/>
        <w:spacing w:line="240" w:lineRule="auto"/>
        <w:rPr>
          <w:kern w:val="0"/>
          <w:szCs w:val="20"/>
        </w:rPr>
      </w:pPr>
      <w:r>
        <w:rPr>
          <w:rFonts w:hint="eastAsia"/>
          <w:kern w:val="0"/>
          <w:szCs w:val="20"/>
        </w:rPr>
        <w:t>根据需要设置扫描次数，一般不低于16次；</w:t>
      </w:r>
    </w:p>
    <w:p w14:paraId="611DAB9F">
      <w:pPr>
        <w:widowControl/>
        <w:numPr>
          <w:ilvl w:val="0"/>
          <w:numId w:val="11"/>
        </w:numPr>
        <w:tabs>
          <w:tab w:val="center" w:pos="4201"/>
          <w:tab w:val="right" w:leader="dot" w:pos="9298"/>
        </w:tabs>
        <w:autoSpaceDE w:val="0"/>
        <w:autoSpaceDN w:val="0"/>
        <w:spacing w:line="240" w:lineRule="auto"/>
        <w:rPr>
          <w:kern w:val="0"/>
          <w:szCs w:val="20"/>
        </w:rPr>
      </w:pPr>
      <w:r>
        <w:rPr>
          <w:rFonts w:hint="eastAsia"/>
          <w:kern w:val="0"/>
          <w:szCs w:val="20"/>
        </w:rPr>
        <w:t>扫描波数范围根据仪器性能和样品需测定的光谱范围而确定，一般</w:t>
      </w:r>
      <w:r>
        <w:rPr>
          <w:rFonts w:hint="eastAsia"/>
        </w:rPr>
        <w:t>衰减全反射法的扫描波数范围为</w:t>
      </w:r>
      <w:r>
        <w:t>4000 cm</w:t>
      </w:r>
      <w:r>
        <w:rPr>
          <w:vertAlign w:val="superscript"/>
        </w:rPr>
        <w:t>-1</w:t>
      </w:r>
      <w:r>
        <w:t>~600 cm</w:t>
      </w:r>
      <w:r>
        <w:rPr>
          <w:vertAlign w:val="superscript"/>
        </w:rPr>
        <w:t>-1</w:t>
      </w:r>
      <w:r>
        <w:rPr>
          <w:rFonts w:hint="eastAsia"/>
        </w:rPr>
        <w:t>，透射分析法的扫描波数范围为</w:t>
      </w:r>
      <w:r>
        <w:t>4000 cm</w:t>
      </w:r>
      <w:r>
        <w:rPr>
          <w:vertAlign w:val="superscript"/>
        </w:rPr>
        <w:t>-1</w:t>
      </w:r>
      <w:r>
        <w:t>~400 cm</w:t>
      </w:r>
      <w:r>
        <w:rPr>
          <w:vertAlign w:val="superscript"/>
        </w:rPr>
        <w:t>-1</w:t>
      </w:r>
      <w:r>
        <w:rPr>
          <w:rFonts w:hint="eastAsia"/>
        </w:rPr>
        <w:t>。</w:t>
      </w:r>
    </w:p>
    <w:p w14:paraId="5AC33C06">
      <w:pPr>
        <w:pStyle w:val="3"/>
        <w:keepNext w:val="0"/>
        <w:keepLines w:val="0"/>
        <w:ind w:firstLineChars="0"/>
      </w:pPr>
      <w:r>
        <w:rPr>
          <w:rFonts w:hint="eastAsia"/>
        </w:rPr>
        <w:t>样品测试</w:t>
      </w:r>
    </w:p>
    <w:p w14:paraId="413702AB">
      <w:pPr>
        <w:pStyle w:val="4"/>
        <w:keepNext w:val="0"/>
        <w:spacing w:before="0" w:beforeLines="0" w:after="0" w:afterLines="0" w:line="240" w:lineRule="auto"/>
      </w:pPr>
      <w:r>
        <w:rPr>
          <w:rFonts w:hint="eastAsia" w:ascii="宋体" w:hAnsi="宋体" w:eastAsia="宋体" w:cs="宋体"/>
        </w:rPr>
        <w:t>根据样品分离和制备的形态选择不同的测试方法进行试验，溴化钾压片和薄膜优先选择透射分析法进行测试。</w:t>
      </w:r>
    </w:p>
    <w:p w14:paraId="409D3D62">
      <w:pPr>
        <w:pStyle w:val="4"/>
        <w:keepNext w:val="0"/>
        <w:spacing w:before="0" w:beforeLines="0" w:after="0" w:afterLines="0" w:line="240" w:lineRule="auto"/>
      </w:pPr>
      <w:r>
        <w:rPr>
          <w:rFonts w:hint="eastAsia" w:ascii="宋体" w:hAnsi="宋体" w:eastAsia="宋体" w:cs="宋体"/>
        </w:rPr>
        <w:t>按照仪器的操作程序，进行背景峰的检测，扣除背景。</w:t>
      </w:r>
    </w:p>
    <w:p w14:paraId="382B8602">
      <w:pPr>
        <w:pStyle w:val="4"/>
        <w:keepNext w:val="0"/>
        <w:spacing w:before="0" w:beforeLines="0" w:after="0" w:afterLines="0" w:line="240" w:lineRule="auto"/>
      </w:pPr>
      <w:r>
        <w:rPr>
          <w:rFonts w:hint="eastAsia" w:ascii="宋体" w:hAnsi="宋体" w:eastAsia="宋体" w:cs="宋体"/>
        </w:rPr>
        <w:t>光谱图的最大吸收峰(光谱中透过率最低的吸收峰)透过率宜保持在</w:t>
      </w:r>
      <w:r>
        <w:rPr>
          <w:rFonts w:ascii="Times New Roman" w:hAnsi="Times New Roman" w:eastAsia="宋体"/>
        </w:rPr>
        <w:t>10%~20%</w:t>
      </w:r>
      <w:r>
        <w:rPr>
          <w:rFonts w:hint="eastAsia" w:ascii="宋体" w:hAnsi="宋体" w:eastAsia="宋体" w:cs="宋体"/>
        </w:rPr>
        <w:t>，基线保持平直。</w:t>
      </w:r>
    </w:p>
    <w:p w14:paraId="41E3F604">
      <w:pPr>
        <w:pStyle w:val="4"/>
        <w:keepNext w:val="0"/>
        <w:spacing w:before="0" w:beforeLines="0" w:after="0" w:afterLines="0" w:line="240" w:lineRule="auto"/>
      </w:pPr>
      <w:r>
        <w:rPr>
          <w:rFonts w:hint="eastAsia" w:ascii="宋体" w:hAnsi="宋体" w:eastAsia="宋体" w:cs="宋体"/>
        </w:rPr>
        <w:t>依照应用软件程序的操作要求进行样品测定，得到样品的红外光谱图。</w:t>
      </w:r>
    </w:p>
    <w:p w14:paraId="4E76F5E6">
      <w:pPr>
        <w:pStyle w:val="4"/>
        <w:keepNext w:val="0"/>
        <w:spacing w:before="0" w:beforeLines="0" w:after="0" w:afterLines="0" w:line="240" w:lineRule="auto"/>
        <w:rPr>
          <w:rFonts w:ascii="宋体" w:hAnsi="宋体" w:eastAsia="宋体" w:cs="宋体"/>
        </w:rPr>
      </w:pPr>
      <w:r>
        <w:rPr>
          <w:rFonts w:hint="eastAsia" w:ascii="宋体" w:hAnsi="宋体" w:eastAsia="宋体" w:cs="宋体"/>
        </w:rPr>
        <w:t>用红外光谱处理软件，根据需求，对样品的红外光谱图进行水蒸气校正、基线校正、曲线拟合等数据处理。</w:t>
      </w:r>
    </w:p>
    <w:p w14:paraId="3776E748">
      <w:pPr>
        <w:pStyle w:val="2"/>
        <w:keepNext w:val="0"/>
        <w:spacing w:before="312" w:beforeLines="100" w:after="312" w:afterLines="100" w:line="240" w:lineRule="auto"/>
        <w:ind w:firstLineChars="0"/>
      </w:pPr>
      <w:bookmarkStart w:id="65" w:name="_Toc20930"/>
      <w:r>
        <w:rPr>
          <w:rFonts w:hint="eastAsia"/>
        </w:rPr>
        <w:t>结果分析</w:t>
      </w:r>
      <w:bookmarkEnd w:id="65"/>
    </w:p>
    <w:p w14:paraId="7D099555">
      <w:pPr>
        <w:pStyle w:val="3"/>
        <w:keepNext w:val="0"/>
        <w:ind w:firstLineChars="0"/>
      </w:pPr>
      <w:r>
        <w:rPr>
          <w:rFonts w:hint="eastAsia"/>
        </w:rPr>
        <w:t>定性分析</w:t>
      </w:r>
    </w:p>
    <w:p w14:paraId="07CBD7AB">
      <w:pPr>
        <w:pStyle w:val="4"/>
        <w:keepNext w:val="0"/>
        <w:spacing w:before="0" w:beforeLines="0" w:after="0" w:afterLines="0" w:line="240" w:lineRule="auto"/>
        <w:rPr>
          <w:rFonts w:ascii="Times New Roman" w:hAnsi="Times New Roman" w:eastAsia="宋体"/>
          <w:szCs w:val="20"/>
        </w:rPr>
      </w:pPr>
      <w:r>
        <w:rPr>
          <w:rFonts w:ascii="Times New Roman" w:hAnsi="Times New Roman" w:eastAsia="宋体"/>
          <w:szCs w:val="20"/>
        </w:rPr>
        <w:t>与已知基团的特征吸收峰进行比较:对比测定样品的吸收光谱与已知基团的特征吸收峰重合情况，解析测定物中是否有该基团存在。</w:t>
      </w:r>
    </w:p>
    <w:p w14:paraId="63834A9F">
      <w:pPr>
        <w:pStyle w:val="4"/>
        <w:keepNext w:val="0"/>
        <w:spacing w:before="0" w:beforeLines="0" w:after="0" w:afterLines="0" w:line="240" w:lineRule="auto"/>
        <w:rPr>
          <w:rFonts w:ascii="Times New Roman" w:hAnsi="Times New Roman" w:eastAsia="宋体"/>
          <w:szCs w:val="20"/>
        </w:rPr>
      </w:pPr>
      <w:r>
        <w:rPr>
          <w:rFonts w:ascii="Times New Roman" w:hAnsi="Times New Roman" w:eastAsia="宋体"/>
          <w:szCs w:val="20"/>
        </w:rPr>
        <w:t>与标准谱库进行检索比较：根据谱库检索结果（NIST、SDBS等</w:t>
      </w:r>
      <w:r>
        <w:rPr>
          <w:rFonts w:hint="eastAsia" w:ascii="Times New Roman" w:hAnsi="Times New Roman" w:eastAsia="宋体"/>
          <w:szCs w:val="20"/>
        </w:rPr>
        <w:t>），</w:t>
      </w:r>
      <w:r>
        <w:rPr>
          <w:rFonts w:ascii="Times New Roman" w:hAnsi="Times New Roman" w:eastAsia="宋体"/>
          <w:szCs w:val="20"/>
        </w:rPr>
        <w:t>对比红外特征吸收峰峰位、峰形和相对峰高的相似程度</w:t>
      </w:r>
      <w:r>
        <w:rPr>
          <w:rFonts w:hint="eastAsia" w:ascii="Times New Roman" w:hAnsi="Times New Roman" w:eastAsia="宋体"/>
          <w:szCs w:val="20"/>
        </w:rPr>
        <w:t>，</w:t>
      </w:r>
      <w:r>
        <w:rPr>
          <w:rFonts w:ascii="Times New Roman" w:hAnsi="Times New Roman" w:eastAsia="宋体"/>
          <w:szCs w:val="20"/>
        </w:rPr>
        <w:t>进行定性分析。</w:t>
      </w:r>
    </w:p>
    <w:p w14:paraId="55DD2196">
      <w:pPr>
        <w:pStyle w:val="4"/>
        <w:spacing w:before="0" w:beforeLines="0" w:after="0" w:afterLines="0" w:line="240" w:lineRule="auto"/>
        <w:rPr>
          <w:rFonts w:ascii="Times New Roman" w:hAnsi="Times New Roman" w:eastAsia="宋体"/>
          <w:szCs w:val="20"/>
        </w:rPr>
      </w:pPr>
      <w:r>
        <w:rPr>
          <w:rFonts w:ascii="Times New Roman" w:hAnsi="Times New Roman" w:eastAsia="宋体"/>
          <w:szCs w:val="20"/>
        </w:rPr>
        <w:t>与已知样品光谱进行比较</w:t>
      </w:r>
      <w:r>
        <w:rPr>
          <w:rFonts w:hint="eastAsia" w:ascii="Times New Roman" w:hAnsi="Times New Roman" w:eastAsia="宋体"/>
          <w:szCs w:val="20"/>
        </w:rPr>
        <w:t>：</w:t>
      </w:r>
      <w:r>
        <w:rPr>
          <w:rFonts w:ascii="Times New Roman" w:hAnsi="Times New Roman" w:eastAsia="宋体"/>
          <w:szCs w:val="20"/>
        </w:rPr>
        <w:t>对比测定样品的红外吸收光谱与已知样品的红外吸收光谱的相似程度</w:t>
      </w:r>
      <w:r>
        <w:rPr>
          <w:rFonts w:hint="eastAsia" w:ascii="Times New Roman" w:hAnsi="Times New Roman" w:eastAsia="宋体"/>
          <w:szCs w:val="20"/>
        </w:rPr>
        <w:t>，</w:t>
      </w:r>
      <w:r>
        <w:rPr>
          <w:rFonts w:ascii="Times New Roman" w:hAnsi="Times New Roman" w:eastAsia="宋体"/>
          <w:szCs w:val="20"/>
        </w:rPr>
        <w:t>进行定性分析。</w:t>
      </w:r>
    </w:p>
    <w:p w14:paraId="000DB4A1">
      <w:pPr>
        <w:pStyle w:val="4"/>
        <w:spacing w:before="0" w:beforeLines="0" w:after="0" w:afterLines="0" w:line="240" w:lineRule="auto"/>
        <w:rPr>
          <w:rFonts w:ascii="Times New Roman" w:hAnsi="Times New Roman" w:eastAsia="宋体"/>
          <w:szCs w:val="20"/>
        </w:rPr>
      </w:pPr>
      <w:r>
        <w:rPr>
          <w:rFonts w:hint="eastAsia" w:ascii="Times New Roman" w:hAnsi="Times New Roman" w:eastAsia="宋体"/>
          <w:szCs w:val="20"/>
        </w:rPr>
        <w:t>附录B中给出了常见建筑塑料制品成膜后的红外光谱图和特征吸收峰，部分热固性塑料通过热解法制样后测试的红外透射谱图见附录C。</w:t>
      </w:r>
    </w:p>
    <w:p w14:paraId="28BF4017">
      <w:pPr>
        <w:pStyle w:val="3"/>
        <w:ind w:firstLineChars="0"/>
      </w:pPr>
      <w:r>
        <w:rPr>
          <w:rFonts w:hint="eastAsia"/>
        </w:rPr>
        <w:t>比对检验</w:t>
      </w:r>
    </w:p>
    <w:p w14:paraId="182B1A73">
      <w:pPr>
        <w:keepNext/>
        <w:spacing w:line="240" w:lineRule="auto"/>
      </w:pPr>
      <w:r>
        <w:t>在相同条件下测定</w:t>
      </w:r>
      <w:r>
        <w:rPr>
          <w:rFonts w:hint="eastAsia"/>
        </w:rPr>
        <w:t>样品</w:t>
      </w:r>
      <w:r>
        <w:t>和</w:t>
      </w:r>
      <w:r>
        <w:rPr>
          <w:rFonts w:hint="eastAsia"/>
        </w:rPr>
        <w:t>对照</w:t>
      </w:r>
      <w:r>
        <w:t>品的红外光谱图</w:t>
      </w:r>
      <w:r>
        <w:rPr>
          <w:rFonts w:hint="eastAsia"/>
        </w:rPr>
        <w:t>，</w:t>
      </w:r>
      <w:r>
        <w:t>比较</w:t>
      </w:r>
      <w:r>
        <w:rPr>
          <w:rFonts w:hint="eastAsia"/>
        </w:rPr>
        <w:t>二者</w:t>
      </w:r>
      <w:r>
        <w:t>的红外吸收峰峰位、峰形和相对峰高的相似程度</w:t>
      </w:r>
      <w:r>
        <w:rPr>
          <w:rFonts w:hint="eastAsia"/>
        </w:rPr>
        <w:t>，</w:t>
      </w:r>
      <w:r>
        <w:t>进行分析。</w:t>
      </w:r>
    </w:p>
    <w:p w14:paraId="6180677A">
      <w:pPr>
        <w:pStyle w:val="2"/>
        <w:spacing w:before="312" w:beforeLines="100" w:after="312" w:afterLines="100" w:line="240" w:lineRule="auto"/>
        <w:ind w:firstLineChars="0"/>
      </w:pPr>
      <w:bookmarkStart w:id="66" w:name="_Toc10925"/>
      <w:r>
        <w:rPr>
          <w:rFonts w:hint="eastAsia"/>
        </w:rPr>
        <w:t>结果表述</w:t>
      </w:r>
      <w:bookmarkEnd w:id="66"/>
    </w:p>
    <w:p w14:paraId="4BC1FADB">
      <w:pPr>
        <w:pStyle w:val="3"/>
        <w:ind w:firstLineChars="0"/>
      </w:pPr>
      <w:r>
        <w:rPr>
          <w:rFonts w:hint="eastAsia"/>
        </w:rPr>
        <w:t>未知物鉴定</w:t>
      </w:r>
    </w:p>
    <w:p w14:paraId="26E9D722">
      <w:pPr>
        <w:pStyle w:val="4"/>
        <w:spacing w:before="0" w:beforeLines="0" w:after="0" w:afterLines="0" w:line="240" w:lineRule="auto"/>
        <w:rPr>
          <w:rFonts w:ascii="Times New Roman" w:hAnsi="Times New Roman" w:eastAsia="宋体"/>
        </w:rPr>
      </w:pPr>
      <w:r>
        <w:rPr>
          <w:rFonts w:hint="eastAsia" w:ascii="宋体" w:hAnsi="宋体" w:eastAsia="宋体" w:cs="宋体"/>
        </w:rPr>
        <w:t>对未知塑料的</w:t>
      </w:r>
      <w:r>
        <w:rPr>
          <w:rFonts w:ascii="Times New Roman" w:hAnsi="Times New Roman" w:eastAsia="宋体"/>
        </w:rPr>
        <w:t>鉴定，应表述为：样品是或不是某种塑料。</w:t>
      </w:r>
    </w:p>
    <w:p w14:paraId="5169E123">
      <w:pPr>
        <w:pStyle w:val="4"/>
        <w:spacing w:before="0" w:beforeLines="0" w:after="0" w:afterLines="0" w:line="240" w:lineRule="auto"/>
        <w:rPr>
          <w:rFonts w:ascii="Times New Roman" w:hAnsi="Times New Roman" w:eastAsia="宋体"/>
        </w:rPr>
      </w:pPr>
      <w:r>
        <w:rPr>
          <w:rFonts w:ascii="Times New Roman" w:hAnsi="Times New Roman" w:eastAsia="宋体"/>
        </w:rPr>
        <w:t>当不能确切表述为某种塑料时，应根据红外光谱信息提出可能是某种塑料的分析意见，结果表述为：检出XX类塑料或XX官能团。</w:t>
      </w:r>
    </w:p>
    <w:p w14:paraId="3BF436AE">
      <w:pPr>
        <w:pStyle w:val="3"/>
        <w:ind w:firstLineChars="0"/>
      </w:pPr>
      <w:r>
        <w:rPr>
          <w:rFonts w:hint="eastAsia"/>
        </w:rPr>
        <w:t>比对检验</w:t>
      </w:r>
    </w:p>
    <w:p w14:paraId="07AF8B6F">
      <w:pPr>
        <w:pStyle w:val="4"/>
        <w:spacing w:before="0" w:beforeLines="0" w:after="0" w:afterLines="0" w:line="240" w:lineRule="auto"/>
        <w:rPr>
          <w:rFonts w:ascii="宋体" w:hAnsi="宋体" w:eastAsia="宋体" w:cs="宋体"/>
        </w:rPr>
      </w:pPr>
      <w:r>
        <w:rPr>
          <w:rFonts w:hint="eastAsia" w:ascii="宋体" w:hAnsi="宋体" w:eastAsia="宋体" w:cs="宋体"/>
        </w:rPr>
        <w:t>当样品和对照品的红外光谱的峰位、峰形和相对峰高均无显著性差异,结果表述为:样品和对照品的红外光谱图相同。</w:t>
      </w:r>
    </w:p>
    <w:p w14:paraId="005BB2A9">
      <w:pPr>
        <w:pStyle w:val="4"/>
        <w:spacing w:before="0" w:beforeLines="0" w:after="0" w:afterLines="0" w:line="240" w:lineRule="auto"/>
        <w:rPr>
          <w:rFonts w:ascii="宋体" w:hAnsi="宋体" w:eastAsia="宋体" w:cs="宋体"/>
        </w:rPr>
      </w:pPr>
      <w:r>
        <w:rPr>
          <w:rFonts w:hint="eastAsia" w:ascii="宋体" w:hAnsi="宋体" w:eastAsia="宋体" w:cs="宋体"/>
        </w:rPr>
        <w:t>当样品和对照品的红外光谱的峰位、峰形和相对峰高有显著性差异,结果表述为:样品和对照品成分不同。</w:t>
      </w:r>
    </w:p>
    <w:p w14:paraId="17AB1B84">
      <w:pPr>
        <w:pStyle w:val="4"/>
        <w:spacing w:before="0" w:beforeLines="0" w:after="0" w:afterLines="0" w:line="240" w:lineRule="auto"/>
      </w:pPr>
      <w:r>
        <w:rPr>
          <w:rFonts w:hint="eastAsia" w:ascii="宋体" w:hAnsi="宋体" w:eastAsia="宋体" w:cs="宋体"/>
        </w:rPr>
        <w:t>当样品和对照品的红外特征吸收峰的峰位、峰形和相对峰高无显著性差异,但其他吸收峰的峰位、峰型或相对峰高有显著性差异,结果表述为:样品和对照品红外特征吸收峰相同，但红外光谱有差异。</w:t>
      </w:r>
    </w:p>
    <w:p w14:paraId="10A20B6B">
      <w:pPr>
        <w:pStyle w:val="2"/>
        <w:spacing w:before="312" w:beforeLines="100" w:after="312" w:afterLines="100" w:line="240" w:lineRule="auto"/>
        <w:ind w:firstLineChars="0"/>
      </w:pPr>
      <w:bookmarkStart w:id="67" w:name="_Toc5794"/>
      <w:r>
        <w:rPr>
          <w:rFonts w:hint="eastAsia"/>
        </w:rPr>
        <w:t>试验报告</w:t>
      </w:r>
      <w:bookmarkEnd w:id="67"/>
    </w:p>
    <w:p w14:paraId="5AE23916">
      <w:pPr>
        <w:spacing w:line="240" w:lineRule="auto"/>
        <w:jc w:val="left"/>
      </w:pPr>
      <w:r>
        <w:rPr>
          <w:rFonts w:hint="eastAsia"/>
        </w:rPr>
        <w:t>试验报告应至少包括以下内容：</w:t>
      </w:r>
    </w:p>
    <w:p w14:paraId="4BE31F9F">
      <w:pPr>
        <w:pStyle w:val="6"/>
      </w:pPr>
      <w:r>
        <w:t>a</w:t>
      </w:r>
      <w:r>
        <w:rPr>
          <w:rFonts w:hint="eastAsia"/>
        </w:rPr>
        <w:t>）委托单位；</w:t>
      </w:r>
    </w:p>
    <w:p w14:paraId="0CB710E6">
      <w:pPr>
        <w:pStyle w:val="6"/>
      </w:pPr>
      <w:r>
        <w:t>b</w:t>
      </w:r>
      <w:r>
        <w:rPr>
          <w:rFonts w:hint="eastAsia"/>
        </w:rPr>
        <w:t>）试样名称；</w:t>
      </w:r>
    </w:p>
    <w:p w14:paraId="753E1617">
      <w:pPr>
        <w:pStyle w:val="6"/>
      </w:pPr>
      <w:r>
        <w:t>c</w:t>
      </w:r>
      <w:r>
        <w:rPr>
          <w:rFonts w:hint="eastAsia"/>
        </w:rPr>
        <w:t>）检测依据：本文件编号及具体方法；</w:t>
      </w:r>
    </w:p>
    <w:p w14:paraId="590A2E3A">
      <w:pPr>
        <w:pStyle w:val="6"/>
      </w:pPr>
      <w:r>
        <w:t>d</w:t>
      </w:r>
      <w:r>
        <w:rPr>
          <w:rFonts w:hint="eastAsia"/>
        </w:rPr>
        <w:t>）检测结果；</w:t>
      </w:r>
    </w:p>
    <w:p w14:paraId="2271C069">
      <w:pPr>
        <w:pStyle w:val="6"/>
      </w:pPr>
      <w:r>
        <w:t>e</w:t>
      </w:r>
      <w:r>
        <w:rPr>
          <w:rFonts w:hint="eastAsia"/>
        </w:rPr>
        <w:t>）与本方法的差异（如有）；</w:t>
      </w:r>
    </w:p>
    <w:p w14:paraId="332D9F45">
      <w:pPr>
        <w:pStyle w:val="6"/>
      </w:pPr>
      <w:r>
        <w:t>f</w:t>
      </w:r>
      <w:r>
        <w:rPr>
          <w:rFonts w:hint="eastAsia"/>
        </w:rPr>
        <w:t>）在试验中观察到的异常现象（如有）；</w:t>
      </w:r>
    </w:p>
    <w:p w14:paraId="121172E3">
      <w:pPr>
        <w:pStyle w:val="6"/>
      </w:pPr>
      <w:r>
        <w:t>g</w:t>
      </w:r>
      <w:r>
        <w:rPr>
          <w:rFonts w:hint="eastAsia"/>
        </w:rPr>
        <w:t>）试验日期。</w:t>
      </w:r>
    </w:p>
    <w:p w14:paraId="5C36CBE7">
      <w:pPr>
        <w:spacing w:line="240" w:lineRule="auto"/>
      </w:pPr>
      <w:r>
        <w:rPr>
          <w:rFonts w:hint="eastAsia"/>
        </w:rPr>
        <w:br w:type="page"/>
      </w:r>
      <w:bookmarkStart w:id="68" w:name="_Toc37593894"/>
      <w:bookmarkStart w:id="69" w:name="_Toc40343624"/>
      <w:bookmarkStart w:id="70" w:name="_Toc51570699"/>
      <w:bookmarkStart w:id="71" w:name="_Toc37596460"/>
      <w:bookmarkStart w:id="72" w:name="_Toc37589950"/>
      <w:bookmarkStart w:id="73" w:name="_Toc22037"/>
    </w:p>
    <w:p w14:paraId="5F2D4290">
      <w:pPr>
        <w:pStyle w:val="174"/>
        <w:tabs>
          <w:tab w:val="left" w:pos="6406"/>
        </w:tabs>
        <w:spacing w:after="156"/>
        <w:rPr>
          <w:rFonts w:ascii="宋体" w:hAnsi="Times New Roman" w:eastAsia="宋体"/>
        </w:rPr>
      </w:pPr>
      <w:bookmarkStart w:id="74" w:name="_Toc170981503"/>
      <w:bookmarkStart w:id="75" w:name="_Toc181977552"/>
      <w:bookmarkStart w:id="76" w:name="_Toc29057"/>
      <w:r>
        <w:br w:type="textWrapping"/>
      </w:r>
      <w:bookmarkStart w:id="77" w:name="_Toc194061203"/>
      <w:r>
        <w:t>（资料性）</w:t>
      </w:r>
      <w:r>
        <w:br w:type="textWrapping"/>
      </w:r>
      <w:r>
        <w:rPr>
          <w:rFonts w:hint="eastAsia"/>
        </w:rPr>
        <w:t>常见塑料制品溶解推荐使用溶剂</w:t>
      </w:r>
      <w:bookmarkEnd w:id="74"/>
      <w:bookmarkEnd w:id="75"/>
      <w:bookmarkEnd w:id="76"/>
      <w:bookmarkEnd w:id="77"/>
    </w:p>
    <w:p w14:paraId="4B14AB22">
      <w:pPr>
        <w:pStyle w:val="6"/>
      </w:pPr>
      <w:r>
        <w:rPr>
          <w:rFonts w:hint="eastAsia"/>
        </w:rPr>
        <w:t>推荐使用溶剂见表A.1。</w:t>
      </w:r>
    </w:p>
    <w:p w14:paraId="1AA9AA93">
      <w:pPr>
        <w:pStyle w:val="172"/>
        <w:spacing w:before="156" w:after="156"/>
      </w:pPr>
      <w:r>
        <w:rPr>
          <w:rFonts w:hint="eastAsia"/>
        </w:rPr>
        <w:t>推荐使用溶剂</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0"/>
        <w:gridCol w:w="6679"/>
      </w:tblGrid>
      <w:tr w14:paraId="2131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40B6D41E">
            <w:pPr>
              <w:widowControl/>
              <w:spacing w:line="240" w:lineRule="auto"/>
              <w:ind w:firstLine="0" w:firstLineChars="0"/>
              <w:jc w:val="center"/>
              <w:rPr>
                <w:rFonts w:ascii="宋体" w:hAnsi="宋体" w:eastAsia="宋体" w:cs="宋体"/>
                <w:szCs w:val="21"/>
              </w:rPr>
            </w:pPr>
            <w:r>
              <w:rPr>
                <w:rFonts w:hint="eastAsia" w:ascii="宋体" w:hAnsi="宋体" w:eastAsia="宋体" w:cs="宋体"/>
                <w:b/>
                <w:bCs/>
                <w:color w:val="000000"/>
                <w:kern w:val="0"/>
                <w:szCs w:val="21"/>
                <w:lang w:bidi="ar"/>
              </w:rPr>
              <w:t>溶剂</w:t>
            </w:r>
          </w:p>
        </w:tc>
        <w:tc>
          <w:tcPr>
            <w:tcW w:w="6679" w:type="dxa"/>
            <w:vAlign w:val="center"/>
          </w:tcPr>
          <w:p w14:paraId="4000B284">
            <w:pPr>
              <w:widowControl/>
              <w:spacing w:line="240" w:lineRule="auto"/>
              <w:ind w:firstLine="0" w:firstLineChars="0"/>
              <w:jc w:val="center"/>
              <w:rPr>
                <w:rFonts w:ascii="宋体" w:hAnsi="宋体" w:eastAsia="宋体" w:cs="宋体"/>
                <w:szCs w:val="21"/>
              </w:rPr>
            </w:pPr>
            <w:r>
              <w:rPr>
                <w:rFonts w:hint="eastAsia" w:ascii="宋体" w:hAnsi="宋体" w:eastAsia="宋体" w:cs="宋体"/>
                <w:b/>
                <w:bCs/>
                <w:color w:val="000000"/>
                <w:kern w:val="0"/>
                <w:szCs w:val="21"/>
                <w:lang w:bidi="ar"/>
              </w:rPr>
              <w:t>适用塑料种类</w:t>
            </w:r>
          </w:p>
        </w:tc>
      </w:tr>
      <w:tr w14:paraId="5B90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2576D178">
            <w:pPr>
              <w:widowControl/>
              <w:spacing w:line="240" w:lineRule="auto"/>
              <w:ind w:firstLine="0" w:firstLineChars="0"/>
              <w:jc w:val="center"/>
              <w:rPr>
                <w:rFonts w:ascii="宋体" w:eastAsia="宋体"/>
                <w:szCs w:val="21"/>
              </w:rPr>
            </w:pPr>
            <w:r>
              <w:rPr>
                <w:rFonts w:ascii="宋体" w:eastAsia="宋体"/>
                <w:color w:val="000000"/>
                <w:kern w:val="0"/>
                <w:szCs w:val="21"/>
                <w:lang w:bidi="ar"/>
              </w:rPr>
              <w:t>四氢呋喃</w:t>
            </w:r>
          </w:p>
        </w:tc>
        <w:tc>
          <w:tcPr>
            <w:tcW w:w="6679" w:type="dxa"/>
            <w:vAlign w:val="center"/>
          </w:tcPr>
          <w:p w14:paraId="63B287B5">
            <w:pPr>
              <w:widowControl/>
              <w:spacing w:line="240" w:lineRule="auto"/>
              <w:ind w:firstLine="0" w:firstLineChars="0"/>
              <w:jc w:val="center"/>
              <w:rPr>
                <w:rFonts w:ascii="宋体" w:eastAsia="宋体"/>
                <w:szCs w:val="21"/>
              </w:rPr>
            </w:pPr>
            <w:r>
              <w:rPr>
                <w:rFonts w:ascii="宋体" w:eastAsia="宋体"/>
                <w:color w:val="000000"/>
                <w:kern w:val="0"/>
                <w:szCs w:val="21"/>
                <w:lang w:bidi="ar"/>
              </w:rPr>
              <w:t>适用于</w:t>
            </w:r>
            <w:r>
              <w:rPr>
                <w:rFonts w:hint="eastAsia" w:ascii="宋体" w:eastAsia="宋体"/>
                <w:color w:val="000000"/>
                <w:kern w:val="0"/>
                <w:szCs w:val="21"/>
                <w:lang w:bidi="ar"/>
              </w:rPr>
              <w:t>聚丙烯、</w:t>
            </w:r>
            <w:r>
              <w:rPr>
                <w:rFonts w:ascii="宋体" w:eastAsia="宋体"/>
                <w:color w:val="000000"/>
                <w:kern w:val="0"/>
                <w:szCs w:val="21"/>
                <w:lang w:bidi="ar"/>
              </w:rPr>
              <w:t>聚氯乙烯和聚甲基丙烯酸甲酯塑料</w:t>
            </w:r>
          </w:p>
        </w:tc>
      </w:tr>
      <w:tr w14:paraId="27C0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32B3E130">
            <w:pPr>
              <w:widowControl/>
              <w:spacing w:line="240" w:lineRule="auto"/>
              <w:ind w:firstLine="0" w:firstLineChars="0"/>
              <w:jc w:val="center"/>
              <w:rPr>
                <w:rFonts w:ascii="宋体" w:eastAsia="宋体"/>
                <w:szCs w:val="21"/>
              </w:rPr>
            </w:pPr>
            <w:r>
              <w:rPr>
                <w:rFonts w:ascii="宋体" w:eastAsia="宋体"/>
                <w:color w:val="000000"/>
                <w:kern w:val="0"/>
                <w:szCs w:val="21"/>
                <w:lang w:bidi="ar"/>
              </w:rPr>
              <w:t>三氯甲烷</w:t>
            </w:r>
          </w:p>
        </w:tc>
        <w:tc>
          <w:tcPr>
            <w:tcW w:w="6679" w:type="dxa"/>
            <w:vAlign w:val="center"/>
          </w:tcPr>
          <w:p w14:paraId="094B2011">
            <w:pPr>
              <w:widowControl/>
              <w:spacing w:line="240" w:lineRule="auto"/>
              <w:ind w:firstLine="0" w:firstLineChars="0"/>
              <w:jc w:val="center"/>
              <w:rPr>
                <w:rFonts w:ascii="宋体" w:eastAsia="宋体"/>
                <w:szCs w:val="21"/>
              </w:rPr>
            </w:pPr>
            <w:r>
              <w:rPr>
                <w:rFonts w:ascii="宋体" w:eastAsia="宋体"/>
                <w:color w:val="000000"/>
                <w:kern w:val="0"/>
                <w:szCs w:val="21"/>
                <w:lang w:bidi="ar"/>
              </w:rPr>
              <w:t>适用于</w:t>
            </w:r>
            <w:r>
              <w:rPr>
                <w:rFonts w:hint="eastAsia" w:ascii="宋体" w:eastAsia="宋体"/>
                <w:color w:val="000000"/>
                <w:kern w:val="0"/>
                <w:szCs w:val="21"/>
                <w:lang w:bidi="ar"/>
              </w:rPr>
              <w:t>聚乙烯、</w:t>
            </w:r>
            <w:r>
              <w:rPr>
                <w:rFonts w:ascii="宋体" w:eastAsia="宋体"/>
                <w:color w:val="000000"/>
                <w:kern w:val="0"/>
                <w:szCs w:val="21"/>
                <w:lang w:bidi="ar"/>
              </w:rPr>
              <w:t>聚甲基丙烯酸甲酯和聚苯乙烯塑料</w:t>
            </w:r>
          </w:p>
        </w:tc>
      </w:tr>
      <w:tr w14:paraId="71B0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17FBEBEB">
            <w:pPr>
              <w:widowControl/>
              <w:spacing w:line="240" w:lineRule="auto"/>
              <w:ind w:firstLine="0" w:firstLineChars="0"/>
              <w:jc w:val="center"/>
              <w:rPr>
                <w:rFonts w:ascii="宋体" w:eastAsia="宋体"/>
                <w:szCs w:val="21"/>
              </w:rPr>
            </w:pPr>
            <w:r>
              <w:rPr>
                <w:rFonts w:ascii="宋体" w:eastAsia="宋体"/>
                <w:color w:val="000000"/>
                <w:kern w:val="0"/>
                <w:szCs w:val="21"/>
                <w:lang w:bidi="ar"/>
              </w:rPr>
              <w:t>1,2-二氯乙烷</w:t>
            </w:r>
          </w:p>
        </w:tc>
        <w:tc>
          <w:tcPr>
            <w:tcW w:w="6679" w:type="dxa"/>
            <w:vAlign w:val="center"/>
          </w:tcPr>
          <w:p w14:paraId="6F071A4B">
            <w:pPr>
              <w:widowControl/>
              <w:spacing w:line="240" w:lineRule="auto"/>
              <w:ind w:firstLine="0" w:firstLineChars="0"/>
              <w:jc w:val="center"/>
              <w:rPr>
                <w:rFonts w:ascii="宋体" w:eastAsia="宋体"/>
                <w:szCs w:val="21"/>
              </w:rPr>
            </w:pPr>
            <w:r>
              <w:rPr>
                <w:rFonts w:ascii="宋体" w:eastAsia="宋体"/>
                <w:color w:val="000000"/>
                <w:kern w:val="0"/>
                <w:szCs w:val="21"/>
                <w:lang w:bidi="ar"/>
              </w:rPr>
              <w:t>适用于大部分热塑性树脂，其中包括大部分聚烯烃塑料</w:t>
            </w:r>
          </w:p>
        </w:tc>
      </w:tr>
      <w:tr w14:paraId="585B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61E5E960">
            <w:pPr>
              <w:widowControl/>
              <w:spacing w:line="240" w:lineRule="auto"/>
              <w:ind w:firstLine="0" w:firstLineChars="0"/>
              <w:jc w:val="center"/>
              <w:rPr>
                <w:rFonts w:ascii="宋体" w:eastAsia="宋体"/>
                <w:szCs w:val="21"/>
              </w:rPr>
            </w:pPr>
            <w:r>
              <w:rPr>
                <w:rFonts w:ascii="宋体" w:eastAsia="宋体"/>
                <w:color w:val="000000"/>
                <w:kern w:val="0"/>
                <w:szCs w:val="21"/>
                <w:lang w:bidi="ar"/>
              </w:rPr>
              <w:t>苯</w:t>
            </w:r>
          </w:p>
        </w:tc>
        <w:tc>
          <w:tcPr>
            <w:tcW w:w="6679" w:type="dxa"/>
            <w:vAlign w:val="center"/>
          </w:tcPr>
          <w:p w14:paraId="50D93EC7">
            <w:pPr>
              <w:widowControl/>
              <w:spacing w:line="240" w:lineRule="auto"/>
              <w:ind w:firstLine="0" w:firstLineChars="0"/>
              <w:jc w:val="center"/>
              <w:rPr>
                <w:rFonts w:ascii="宋体" w:eastAsia="宋体"/>
                <w:szCs w:val="21"/>
              </w:rPr>
            </w:pPr>
            <w:r>
              <w:rPr>
                <w:rFonts w:ascii="宋体" w:eastAsia="宋体"/>
                <w:color w:val="000000"/>
                <w:kern w:val="0"/>
                <w:szCs w:val="21"/>
                <w:lang w:bidi="ar"/>
              </w:rPr>
              <w:t>适用于聚苯乙烯</w:t>
            </w:r>
            <w:r>
              <w:rPr>
                <w:rFonts w:hint="eastAsia" w:ascii="宋体" w:eastAsia="宋体"/>
                <w:color w:val="000000"/>
                <w:kern w:val="0"/>
                <w:szCs w:val="21"/>
                <w:lang w:bidi="ar"/>
              </w:rPr>
              <w:t>、聚碳酸酯</w:t>
            </w:r>
            <w:r>
              <w:rPr>
                <w:rFonts w:ascii="宋体" w:eastAsia="宋体"/>
                <w:color w:val="000000"/>
                <w:kern w:val="0"/>
                <w:szCs w:val="21"/>
                <w:lang w:bidi="ar"/>
              </w:rPr>
              <w:t>塑料</w:t>
            </w:r>
          </w:p>
        </w:tc>
      </w:tr>
      <w:tr w14:paraId="7C23D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087DFBF9">
            <w:pPr>
              <w:widowControl/>
              <w:spacing w:line="240" w:lineRule="auto"/>
              <w:ind w:firstLine="0" w:firstLineChars="0"/>
              <w:jc w:val="center"/>
              <w:rPr>
                <w:rFonts w:ascii="宋体" w:eastAsia="宋体"/>
                <w:szCs w:val="21"/>
              </w:rPr>
            </w:pPr>
            <w:r>
              <w:rPr>
                <w:rFonts w:ascii="宋体" w:eastAsia="宋体"/>
                <w:color w:val="000000"/>
                <w:kern w:val="0"/>
                <w:szCs w:val="21"/>
                <w:lang w:bidi="ar"/>
              </w:rPr>
              <w:t>甲苯</w:t>
            </w:r>
          </w:p>
        </w:tc>
        <w:tc>
          <w:tcPr>
            <w:tcW w:w="6679" w:type="dxa"/>
            <w:vAlign w:val="center"/>
          </w:tcPr>
          <w:p w14:paraId="20F87CED">
            <w:pPr>
              <w:widowControl/>
              <w:spacing w:line="240" w:lineRule="auto"/>
              <w:ind w:firstLine="0" w:firstLineChars="0"/>
              <w:jc w:val="center"/>
              <w:rPr>
                <w:rFonts w:ascii="宋体" w:eastAsia="宋体"/>
                <w:szCs w:val="21"/>
              </w:rPr>
            </w:pPr>
            <w:r>
              <w:rPr>
                <w:rFonts w:ascii="宋体" w:eastAsia="宋体"/>
                <w:color w:val="000000"/>
                <w:kern w:val="0"/>
                <w:szCs w:val="21"/>
                <w:lang w:bidi="ar"/>
              </w:rPr>
              <w:t>适用于聚乙烯、聚苯乙烯和聚甲基丙烯酸甲酯塑料</w:t>
            </w:r>
          </w:p>
        </w:tc>
      </w:tr>
      <w:tr w14:paraId="2089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4781BC15">
            <w:pPr>
              <w:widowControl/>
              <w:spacing w:line="240" w:lineRule="auto"/>
              <w:ind w:firstLine="0" w:firstLineChars="0"/>
              <w:jc w:val="center"/>
              <w:rPr>
                <w:rFonts w:ascii="宋体" w:eastAsia="宋体"/>
                <w:szCs w:val="21"/>
              </w:rPr>
            </w:pPr>
            <w:r>
              <w:rPr>
                <w:rFonts w:ascii="宋体" w:eastAsia="宋体"/>
                <w:color w:val="000000"/>
                <w:kern w:val="0"/>
                <w:szCs w:val="21"/>
                <w:lang w:bidi="ar"/>
              </w:rPr>
              <w:t>甲乙酮</w:t>
            </w:r>
          </w:p>
        </w:tc>
        <w:tc>
          <w:tcPr>
            <w:tcW w:w="6679" w:type="dxa"/>
            <w:vAlign w:val="center"/>
          </w:tcPr>
          <w:p w14:paraId="607D9644">
            <w:pPr>
              <w:widowControl/>
              <w:spacing w:line="240" w:lineRule="auto"/>
              <w:ind w:firstLine="0" w:firstLineChars="0"/>
              <w:jc w:val="center"/>
              <w:rPr>
                <w:rFonts w:ascii="宋体" w:eastAsia="宋体"/>
                <w:szCs w:val="21"/>
              </w:rPr>
            </w:pPr>
            <w:r>
              <w:rPr>
                <w:rFonts w:ascii="宋体" w:eastAsia="宋体"/>
                <w:color w:val="000000"/>
                <w:kern w:val="0"/>
                <w:szCs w:val="21"/>
                <w:lang w:bidi="ar"/>
              </w:rPr>
              <w:t>适</w:t>
            </w:r>
            <w:r>
              <w:rPr>
                <w:rFonts w:hint="eastAsia" w:ascii="宋体" w:eastAsia="宋体"/>
                <w:color w:val="000000"/>
                <w:kern w:val="0"/>
                <w:szCs w:val="21"/>
                <w:lang w:bidi="ar"/>
              </w:rPr>
              <w:t>用于聚氨酯、丁</w:t>
            </w:r>
            <w:r>
              <w:rPr>
                <w:rFonts w:ascii="宋体" w:eastAsia="宋体"/>
                <w:color w:val="000000"/>
                <w:kern w:val="0"/>
                <w:szCs w:val="21"/>
                <w:lang w:bidi="ar"/>
              </w:rPr>
              <w:t>二烯共聚物塑料</w:t>
            </w:r>
          </w:p>
        </w:tc>
      </w:tr>
      <w:tr w14:paraId="565E7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7743023D">
            <w:pPr>
              <w:widowControl/>
              <w:spacing w:line="240" w:lineRule="auto"/>
              <w:ind w:firstLine="0" w:firstLineChars="0"/>
              <w:jc w:val="center"/>
              <w:rPr>
                <w:rFonts w:ascii="宋体" w:eastAsia="宋体"/>
                <w:szCs w:val="21"/>
              </w:rPr>
            </w:pPr>
            <w:r>
              <w:rPr>
                <w:rFonts w:ascii="宋体" w:eastAsia="宋体"/>
                <w:color w:val="000000"/>
                <w:kern w:val="0"/>
                <w:szCs w:val="21"/>
                <w:lang w:bidi="ar"/>
              </w:rPr>
              <w:t>丙酮</w:t>
            </w:r>
          </w:p>
        </w:tc>
        <w:tc>
          <w:tcPr>
            <w:tcW w:w="6679" w:type="dxa"/>
            <w:vAlign w:val="center"/>
          </w:tcPr>
          <w:p w14:paraId="31275270">
            <w:pPr>
              <w:widowControl/>
              <w:spacing w:line="240" w:lineRule="auto"/>
              <w:ind w:firstLine="0" w:firstLineChars="0"/>
              <w:jc w:val="center"/>
              <w:rPr>
                <w:rFonts w:ascii="宋体" w:eastAsia="宋体"/>
                <w:szCs w:val="21"/>
              </w:rPr>
            </w:pPr>
            <w:r>
              <w:rPr>
                <w:rFonts w:ascii="宋体" w:eastAsia="宋体"/>
                <w:color w:val="000000"/>
                <w:kern w:val="0"/>
                <w:szCs w:val="21"/>
                <w:lang w:bidi="ar"/>
              </w:rPr>
              <w:t>适用于聚甲基丙烯酸酯类塑料</w:t>
            </w:r>
          </w:p>
        </w:tc>
      </w:tr>
      <w:tr w14:paraId="3F2E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6A7C550C">
            <w:pPr>
              <w:widowControl/>
              <w:spacing w:line="240" w:lineRule="auto"/>
              <w:ind w:firstLine="0" w:firstLineChars="0"/>
              <w:jc w:val="center"/>
              <w:rPr>
                <w:rFonts w:ascii="宋体" w:eastAsia="宋体"/>
                <w:color w:val="000000"/>
                <w:kern w:val="0"/>
                <w:szCs w:val="21"/>
                <w:lang w:bidi="ar"/>
              </w:rPr>
            </w:pPr>
            <w:r>
              <w:rPr>
                <w:rFonts w:ascii="宋体" w:eastAsia="宋体"/>
                <w:color w:val="000000"/>
                <w:kern w:val="0"/>
                <w:szCs w:val="21"/>
                <w:lang w:bidi="ar"/>
              </w:rPr>
              <w:t>甲酸</w:t>
            </w:r>
          </w:p>
        </w:tc>
        <w:tc>
          <w:tcPr>
            <w:tcW w:w="6679" w:type="dxa"/>
            <w:vAlign w:val="center"/>
          </w:tcPr>
          <w:p w14:paraId="65FAAD20">
            <w:pPr>
              <w:widowControl/>
              <w:spacing w:line="240" w:lineRule="auto"/>
              <w:ind w:firstLine="0" w:firstLineChars="0"/>
              <w:jc w:val="center"/>
              <w:rPr>
                <w:rFonts w:ascii="宋体" w:eastAsia="宋体"/>
                <w:color w:val="000000"/>
                <w:kern w:val="0"/>
                <w:szCs w:val="21"/>
                <w:lang w:bidi="ar"/>
              </w:rPr>
            </w:pPr>
            <w:r>
              <w:rPr>
                <w:rFonts w:ascii="宋体" w:eastAsia="宋体"/>
                <w:color w:val="000000"/>
                <w:kern w:val="0"/>
                <w:szCs w:val="21"/>
                <w:lang w:bidi="ar"/>
              </w:rPr>
              <w:t>适用于聚酰胺和线性聚氨酯类塑料</w:t>
            </w:r>
          </w:p>
        </w:tc>
      </w:tr>
      <w:tr w14:paraId="6FC7D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10" w:type="dxa"/>
            <w:vAlign w:val="center"/>
          </w:tcPr>
          <w:p w14:paraId="1A567702">
            <w:pPr>
              <w:widowControl/>
              <w:spacing w:line="240" w:lineRule="auto"/>
              <w:ind w:firstLine="0" w:firstLineChars="0"/>
              <w:jc w:val="center"/>
              <w:rPr>
                <w:rFonts w:ascii="宋体" w:eastAsia="宋体"/>
                <w:color w:val="000000"/>
                <w:kern w:val="0"/>
                <w:szCs w:val="21"/>
                <w:lang w:bidi="ar"/>
              </w:rPr>
            </w:pPr>
            <w:r>
              <w:rPr>
                <w:rFonts w:ascii="宋体" w:eastAsia="宋体"/>
                <w:color w:val="000000"/>
                <w:kern w:val="0"/>
                <w:szCs w:val="21"/>
                <w:lang w:bidi="ar"/>
              </w:rPr>
              <w:t>N,N-二甲基甲酰胺</w:t>
            </w:r>
          </w:p>
        </w:tc>
        <w:tc>
          <w:tcPr>
            <w:tcW w:w="6679" w:type="dxa"/>
            <w:vAlign w:val="center"/>
          </w:tcPr>
          <w:p w14:paraId="57126837">
            <w:pPr>
              <w:widowControl/>
              <w:spacing w:line="240" w:lineRule="auto"/>
              <w:ind w:firstLine="0" w:firstLineChars="0"/>
              <w:jc w:val="center"/>
              <w:rPr>
                <w:rFonts w:ascii="宋体" w:eastAsia="宋体"/>
                <w:color w:val="000000"/>
                <w:kern w:val="0"/>
                <w:szCs w:val="21"/>
                <w:lang w:bidi="ar"/>
              </w:rPr>
            </w:pPr>
            <w:r>
              <w:rPr>
                <w:rFonts w:ascii="宋体" w:eastAsia="宋体"/>
                <w:color w:val="000000"/>
                <w:kern w:val="0"/>
                <w:szCs w:val="21"/>
                <w:lang w:bidi="ar"/>
              </w:rPr>
              <w:t>适合于聚氯乙烯、聚偏二氯乙烯和一些在其它溶剂中不溶解的塑料</w:t>
            </w:r>
          </w:p>
        </w:tc>
      </w:tr>
    </w:tbl>
    <w:p w14:paraId="3F567CA8">
      <w:pPr>
        <w:pStyle w:val="6"/>
      </w:pPr>
    </w:p>
    <w:p w14:paraId="376351D4">
      <w:r>
        <w:br w:type="page"/>
      </w:r>
    </w:p>
    <w:p w14:paraId="2A443381">
      <w:pPr>
        <w:pStyle w:val="174"/>
        <w:tabs>
          <w:tab w:val="left" w:pos="6406"/>
        </w:tabs>
        <w:spacing w:after="156"/>
        <w:rPr>
          <w:rFonts w:ascii="Times New Roman"/>
        </w:rPr>
      </w:pPr>
      <w:r>
        <w:rPr>
          <w:rFonts w:ascii="Times New Roman"/>
        </w:rPr>
        <w:br w:type="textWrapping"/>
      </w:r>
      <w:bookmarkStart w:id="78" w:name="_Toc194061204"/>
      <w:r>
        <w:rPr>
          <w:rFonts w:ascii="Times New Roman"/>
        </w:rPr>
        <w:t>（资料性）</w:t>
      </w:r>
      <w:r>
        <w:rPr>
          <w:rFonts w:ascii="Times New Roman"/>
        </w:rPr>
        <w:br w:type="textWrapping"/>
      </w:r>
      <w:bookmarkEnd w:id="78"/>
      <w:r>
        <w:rPr>
          <w:rFonts w:hint="eastAsia" w:ascii="Times New Roman"/>
        </w:rPr>
        <w:t>常见建筑塑料制品透射法红外光谱图</w:t>
      </w:r>
    </w:p>
    <w:p w14:paraId="1267EE27">
      <w:pPr>
        <w:pStyle w:val="6"/>
        <w:rPr>
          <w:rFonts w:ascii="Times New Roman"/>
        </w:rPr>
      </w:pPr>
      <w:r>
        <w:rPr>
          <w:rFonts w:hint="eastAsia"/>
        </w:rPr>
        <w:t>常见建筑塑料制品透射法红外光谱图和特征</w:t>
      </w:r>
      <w:r>
        <w:rPr>
          <w:rFonts w:ascii="Times New Roman"/>
        </w:rPr>
        <w:t>吸收表，见图B.1~B.10。</w:t>
      </w:r>
    </w:p>
    <w:p w14:paraId="6D70BED5">
      <w:pPr>
        <w:pStyle w:val="175"/>
        <w:numPr>
          <w:ilvl w:val="1"/>
          <w:numId w:val="6"/>
        </w:numPr>
        <w:spacing w:before="156" w:after="156"/>
      </w:pPr>
      <w:r>
        <w:rPr>
          <w:rFonts w:hint="eastAsia"/>
        </w:rPr>
        <w:t>不饱和树脂</w:t>
      </w:r>
    </w:p>
    <w:p w14:paraId="3BA1010A">
      <w:pPr>
        <w:pStyle w:val="173"/>
        <w:ind w:firstLine="420"/>
        <w:rPr>
          <w:rFonts w:ascii="Times New Roman"/>
        </w:rPr>
      </w:pPr>
      <w:r>
        <w:rPr>
          <w:rFonts w:ascii="Times New Roman"/>
        </w:rPr>
        <w:t>不饱和</w:t>
      </w:r>
      <w:r>
        <w:rPr>
          <w:rFonts w:hint="eastAsia" w:ascii="Times New Roman"/>
        </w:rPr>
        <w:t>树脂</w:t>
      </w:r>
      <w:r>
        <w:rPr>
          <w:rFonts w:ascii="Times New Roman"/>
        </w:rPr>
        <w:t>（</w:t>
      </w:r>
      <w:r>
        <w:rPr>
          <w:rFonts w:hint="eastAsia" w:ascii="Times New Roman"/>
        </w:rPr>
        <w:t>U</w:t>
      </w:r>
      <w:r>
        <w:rPr>
          <w:rFonts w:ascii="Times New Roman"/>
        </w:rPr>
        <w:t>P）</w:t>
      </w:r>
      <w:r>
        <w:rPr>
          <w:rFonts w:hint="eastAsia" w:ascii="Times New Roman"/>
        </w:rPr>
        <w:t>常用于树脂型人造石、玻璃钢等建筑制品。</w:t>
      </w:r>
      <w:bookmarkStart w:id="80" w:name="_GoBack"/>
      <w:bookmarkEnd w:id="80"/>
      <w:r>
        <w:rPr>
          <w:rFonts w:ascii="Times New Roman"/>
        </w:rPr>
        <w:t>不饱和</w:t>
      </w:r>
      <w:r>
        <w:rPr>
          <w:rFonts w:hint="eastAsia" w:ascii="Times New Roman"/>
        </w:rPr>
        <w:t>树脂</w:t>
      </w:r>
      <w:r>
        <w:rPr>
          <w:rFonts w:ascii="Times New Roman"/>
        </w:rPr>
        <w:t>（</w:t>
      </w:r>
      <w:r>
        <w:rPr>
          <w:rFonts w:hint="eastAsia" w:ascii="Times New Roman"/>
        </w:rPr>
        <w:t>U</w:t>
      </w:r>
      <w:r>
        <w:rPr>
          <w:rFonts w:ascii="Times New Roman"/>
        </w:rPr>
        <w:t>P）的典型红外光谱图见图B.1。</w:t>
      </w:r>
    </w:p>
    <w:p w14:paraId="15578A7C">
      <w:pPr>
        <w:keepNext/>
        <w:widowControl/>
        <w:overflowPunct w:val="0"/>
        <w:topLinePunct/>
        <w:autoSpaceDE w:val="0"/>
        <w:autoSpaceDN w:val="0"/>
        <w:jc w:val="center"/>
      </w:pPr>
      <w:r>
        <w:drawing>
          <wp:inline distT="0" distB="0" distL="0" distR="0">
            <wp:extent cx="3999230" cy="2519680"/>
            <wp:effectExtent l="0" t="0" r="1270" b="0"/>
            <wp:docPr id="56" name="图片 56" descr="C:\Users\xxy\Desktop\标准中图\标准中图-20250510\UP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C:\Users\xxy\Desktop\标准中图\标准中图-20250510\UPR.tif"/>
                    <pic:cNvPicPr>
                      <a:picLocks noChangeAspect="1" noChangeArrowheads="1"/>
                    </pic:cNvPicPr>
                  </pic:nvPicPr>
                  <pic:blipFill>
                    <a:blip r:embed="rId17" cstate="print">
                      <a:extLst>
                        <a:ext uri="{28A0092B-C50C-407E-A947-70E740481C1C}">
                          <a14:useLocalDpi xmlns:a14="http://schemas.microsoft.com/office/drawing/2010/main" val="0"/>
                        </a:ext>
                      </a:extLst>
                    </a:blip>
                    <a:srcRect t="7529" b="10118"/>
                    <a:stretch>
                      <a:fillRect/>
                    </a:stretch>
                  </pic:blipFill>
                  <pic:spPr>
                    <a:xfrm>
                      <a:off x="0" y="0"/>
                      <a:ext cx="3999600" cy="2520000"/>
                    </a:xfrm>
                    <a:prstGeom prst="rect">
                      <a:avLst/>
                    </a:prstGeom>
                    <a:noFill/>
                    <a:ln>
                      <a:noFill/>
                    </a:ln>
                  </pic:spPr>
                </pic:pic>
              </a:graphicData>
            </a:graphic>
          </wp:inline>
        </w:drawing>
      </w:r>
    </w:p>
    <w:p w14:paraId="1C7DEE1B">
      <w:pPr>
        <w:keepNext/>
        <w:widowControl/>
        <w:overflowPunct w:val="0"/>
        <w:topLinePunct/>
        <w:autoSpaceDE w:val="0"/>
        <w:autoSpaceDN w:val="0"/>
        <w:jc w:val="center"/>
      </w:pPr>
      <w:r>
        <w:t>说明：X——波数，cm</w:t>
      </w:r>
      <w:r>
        <w:rPr>
          <w:vertAlign w:val="superscript"/>
        </w:rPr>
        <w:t>-1</w:t>
      </w:r>
      <w:r>
        <w:t>；Y——透过率，%。</w:t>
      </w:r>
    </w:p>
    <w:p w14:paraId="5A0D8C51">
      <w:pPr>
        <w:pStyle w:val="12"/>
        <w:overflowPunct w:val="0"/>
        <w:topLinePunct/>
        <w:spacing w:before="0" w:after="0"/>
        <w:jc w:val="center"/>
        <w:rPr>
          <w:rFonts w:ascii="Times New Roman" w:hAnsi="Times New Roman" w:eastAsia="宋体" w:cs="Times New Roman"/>
          <w:sz w:val="24"/>
          <w:szCs w:val="24"/>
        </w:rPr>
      </w:pPr>
      <w:r>
        <w:rPr>
          <w:rFonts w:hint="eastAsia" w:ascii="黑体" w:hAnsi="黑体" w:cs="Times New Roman"/>
          <w:kern w:val="0"/>
          <w:sz w:val="21"/>
        </w:rPr>
        <w:t xml:space="preserve">图 </w:t>
      </w:r>
      <w:r>
        <w:rPr>
          <w:rFonts w:ascii="黑体" w:hAnsi="黑体" w:cs="Times New Roman"/>
          <w:kern w:val="0"/>
          <w:sz w:val="21"/>
        </w:rPr>
        <w:t>B.1不饱和</w:t>
      </w:r>
      <w:r>
        <w:rPr>
          <w:rFonts w:hint="eastAsia" w:ascii="黑体" w:hAnsi="黑体" w:cs="Times New Roman"/>
          <w:kern w:val="0"/>
          <w:sz w:val="21"/>
        </w:rPr>
        <w:t>树脂</w:t>
      </w:r>
      <w:r>
        <w:rPr>
          <w:rFonts w:ascii="黑体" w:hAnsi="黑体" w:cs="Times New Roman"/>
          <w:kern w:val="0"/>
          <w:sz w:val="21"/>
        </w:rPr>
        <w:t>红外</w:t>
      </w:r>
      <w:r>
        <w:rPr>
          <w:rFonts w:hint="eastAsia" w:ascii="黑体" w:hAnsi="黑体" w:cs="Times New Roman"/>
          <w:kern w:val="0"/>
          <w:sz w:val="21"/>
        </w:rPr>
        <w:t>光谱</w:t>
      </w:r>
      <w:r>
        <w:rPr>
          <w:rFonts w:ascii="黑体" w:hAnsi="黑体" w:cs="Times New Roman"/>
          <w:kern w:val="0"/>
          <w:sz w:val="21"/>
        </w:rPr>
        <w:t>图</w:t>
      </w:r>
    </w:p>
    <w:p w14:paraId="6F5C63FF">
      <w:pPr>
        <w:pStyle w:val="175"/>
        <w:numPr>
          <w:ilvl w:val="1"/>
          <w:numId w:val="6"/>
        </w:numPr>
        <w:spacing w:before="156" w:after="156"/>
      </w:pPr>
      <w:r>
        <w:rPr>
          <w:rFonts w:hint="eastAsia"/>
        </w:rPr>
        <w:t>聚甲基丙烯酸甲酯</w:t>
      </w:r>
    </w:p>
    <w:p w14:paraId="18C66F99">
      <w:pPr>
        <w:pStyle w:val="6"/>
        <w:rPr>
          <w:rFonts w:ascii="Times New Roman"/>
        </w:rPr>
      </w:pPr>
      <w:r>
        <w:rPr>
          <w:rFonts w:ascii="Times New Roman"/>
        </w:rPr>
        <w:t>聚甲基丙烯酸甲酯（PMMA）又名亚克力，常用于建筑采光顶棚、透明装饰面板等制品。聚甲基丙烯酸甲酯（PMMA）的典型红外光谱图见图B.2。</w:t>
      </w:r>
    </w:p>
    <w:p w14:paraId="4CC56502">
      <w:pPr>
        <w:numPr>
          <w:ilvl w:val="1"/>
          <w:numId w:val="0"/>
        </w:numPr>
        <w:tabs>
          <w:tab w:val="left" w:pos="363"/>
        </w:tabs>
        <w:spacing w:before="156" w:beforeLines="50" w:after="156" w:afterLines="50" w:line="240" w:lineRule="auto"/>
        <w:ind w:left="1029" w:hanging="609"/>
        <w:jc w:val="center"/>
        <w:rPr>
          <w:rFonts w:eastAsia="黑体"/>
          <w:kern w:val="0"/>
        </w:rPr>
      </w:pPr>
      <w:r>
        <w:rPr>
          <w:rFonts w:eastAsia="黑体"/>
          <w:kern w:val="0"/>
        </w:rPr>
        <w:drawing>
          <wp:inline distT="0" distB="0" distL="0" distR="0">
            <wp:extent cx="3999230" cy="2519680"/>
            <wp:effectExtent l="0" t="0" r="1270" b="0"/>
            <wp:docPr id="25" name="图片 25" descr="C:\Users\xxy\Desktop\标准中图\标准中图-20250510\PMM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xxy\Desktop\标准中图\标准中图-20250510\PMMA.tif"/>
                    <pic:cNvPicPr>
                      <a:picLocks noChangeAspect="1" noChangeArrowheads="1"/>
                    </pic:cNvPicPr>
                  </pic:nvPicPr>
                  <pic:blipFill>
                    <a:blip r:embed="rId18" cstate="print">
                      <a:extLst>
                        <a:ext uri="{28A0092B-C50C-407E-A947-70E740481C1C}">
                          <a14:useLocalDpi xmlns:a14="http://schemas.microsoft.com/office/drawing/2010/main" val="0"/>
                        </a:ext>
                      </a:extLst>
                    </a:blip>
                    <a:srcRect t="7315" b="9249"/>
                    <a:stretch>
                      <a:fillRect/>
                    </a:stretch>
                  </pic:blipFill>
                  <pic:spPr>
                    <a:xfrm>
                      <a:off x="0" y="0"/>
                      <a:ext cx="3999600" cy="2520000"/>
                    </a:xfrm>
                    <a:prstGeom prst="rect">
                      <a:avLst/>
                    </a:prstGeom>
                    <a:noFill/>
                    <a:ln>
                      <a:noFill/>
                    </a:ln>
                  </pic:spPr>
                </pic:pic>
              </a:graphicData>
            </a:graphic>
          </wp:inline>
        </w:drawing>
      </w:r>
    </w:p>
    <w:p w14:paraId="2DD5BBD6">
      <w:pPr>
        <w:ind w:firstLine="1890" w:firstLineChars="900"/>
      </w:pPr>
      <w:r>
        <w:t>说明：X——波数，cm</w:t>
      </w:r>
      <w:r>
        <w:rPr>
          <w:vertAlign w:val="superscript"/>
        </w:rPr>
        <w:t>-1</w:t>
      </w:r>
      <w:r>
        <w:t>；Y——透过率，%。</w:t>
      </w:r>
    </w:p>
    <w:p w14:paraId="021B0D42">
      <w:pPr>
        <w:pStyle w:val="176"/>
        <w:numPr>
          <w:ilvl w:val="1"/>
          <w:numId w:val="0"/>
        </w:numPr>
      </w:pPr>
      <w:r>
        <w:rPr>
          <w:rFonts w:hint="eastAsia"/>
        </w:rPr>
        <w:t>图B.</w:t>
      </w:r>
      <w:r>
        <w:t>2</w:t>
      </w:r>
      <w:r>
        <w:rPr>
          <w:rFonts w:hint="eastAsia"/>
        </w:rPr>
        <w:t xml:space="preserve"> </w:t>
      </w:r>
      <w:r>
        <w:t>聚甲基丙烯酸甲酯的红外光谱图</w:t>
      </w:r>
    </w:p>
    <w:p w14:paraId="339ABF22">
      <w:pPr>
        <w:pStyle w:val="175"/>
        <w:numPr>
          <w:ilvl w:val="1"/>
          <w:numId w:val="6"/>
        </w:numPr>
        <w:spacing w:before="156" w:after="156"/>
      </w:pPr>
      <w:r>
        <w:rPr>
          <w:rFonts w:hint="eastAsia"/>
        </w:rPr>
        <w:t>环氧树脂</w:t>
      </w:r>
    </w:p>
    <w:p w14:paraId="0BFD40A5">
      <w:pPr>
        <w:pStyle w:val="6"/>
        <w:rPr>
          <w:rFonts w:ascii="Times New Roman"/>
        </w:rPr>
      </w:pPr>
      <w:r>
        <w:rPr>
          <w:rFonts w:hint="eastAsia" w:ascii="Times New Roman"/>
        </w:rPr>
        <w:t>环氧树脂（EP）常用于树脂型人造石、玻璃钢等建筑制品。环氧树脂（EP）</w:t>
      </w:r>
      <w:r>
        <w:rPr>
          <w:rFonts w:ascii="Times New Roman"/>
        </w:rPr>
        <w:t>的典型红外光谱图见图B.3。</w:t>
      </w:r>
    </w:p>
    <w:p w14:paraId="71C0BFF4">
      <w:pPr>
        <w:pStyle w:val="173"/>
        <w:ind w:firstLine="420"/>
        <w:rPr>
          <w:rFonts w:ascii="Times New Roman"/>
        </w:rPr>
      </w:pPr>
    </w:p>
    <w:p w14:paraId="0D13E8CC">
      <w:pPr>
        <w:numPr>
          <w:ilvl w:val="1"/>
          <w:numId w:val="0"/>
        </w:numPr>
        <w:tabs>
          <w:tab w:val="left" w:pos="363"/>
        </w:tabs>
        <w:spacing w:before="156" w:beforeLines="50" w:after="156" w:afterLines="50" w:line="240" w:lineRule="auto"/>
        <w:ind w:left="1029" w:hanging="609"/>
        <w:jc w:val="center"/>
        <w:rPr>
          <w:rFonts w:eastAsia="黑体"/>
          <w:kern w:val="0"/>
        </w:rPr>
      </w:pPr>
      <w:r>
        <w:rPr>
          <w:rFonts w:eastAsia="黑体"/>
          <w:kern w:val="0"/>
        </w:rPr>
        <w:drawing>
          <wp:inline distT="0" distB="0" distL="0" distR="0">
            <wp:extent cx="3999230" cy="2519680"/>
            <wp:effectExtent l="0" t="0" r="1270" b="0"/>
            <wp:docPr id="28" name="图片 28" descr="C:\Users\xxy\Desktop\标准中图\标准中图-20250510\EP.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xxy\Desktop\标准中图\标准中图-20250510\EP.tif"/>
                    <pic:cNvPicPr>
                      <a:picLocks noChangeAspect="1" noChangeArrowheads="1"/>
                    </pic:cNvPicPr>
                  </pic:nvPicPr>
                  <pic:blipFill>
                    <a:blip r:embed="rId19" cstate="print">
                      <a:extLst>
                        <a:ext uri="{28A0092B-C50C-407E-A947-70E740481C1C}">
                          <a14:useLocalDpi xmlns:a14="http://schemas.microsoft.com/office/drawing/2010/main" val="0"/>
                        </a:ext>
                      </a:extLst>
                    </a:blip>
                    <a:srcRect t="8085" b="9530"/>
                    <a:stretch>
                      <a:fillRect/>
                    </a:stretch>
                  </pic:blipFill>
                  <pic:spPr>
                    <a:xfrm>
                      <a:off x="0" y="0"/>
                      <a:ext cx="3999600" cy="2520000"/>
                    </a:xfrm>
                    <a:prstGeom prst="rect">
                      <a:avLst/>
                    </a:prstGeom>
                    <a:noFill/>
                    <a:ln>
                      <a:noFill/>
                    </a:ln>
                  </pic:spPr>
                </pic:pic>
              </a:graphicData>
            </a:graphic>
          </wp:inline>
        </w:drawing>
      </w:r>
    </w:p>
    <w:p w14:paraId="23347A3F">
      <w:pPr>
        <w:ind w:firstLine="1890" w:firstLineChars="900"/>
      </w:pPr>
      <w:r>
        <w:t>说明：X——波数，cm</w:t>
      </w:r>
      <w:r>
        <w:rPr>
          <w:vertAlign w:val="superscript"/>
        </w:rPr>
        <w:t>-1</w:t>
      </w:r>
      <w:r>
        <w:t>；Y——透过率，%。</w:t>
      </w:r>
    </w:p>
    <w:p w14:paraId="767CC8C3">
      <w:pPr>
        <w:pStyle w:val="176"/>
        <w:numPr>
          <w:ilvl w:val="1"/>
          <w:numId w:val="0"/>
        </w:numPr>
      </w:pPr>
      <w:r>
        <w:rPr>
          <w:rFonts w:hint="eastAsia"/>
        </w:rPr>
        <w:t>图B.</w:t>
      </w:r>
      <w:r>
        <w:t>3</w:t>
      </w:r>
      <w:r>
        <w:rPr>
          <w:rFonts w:hint="eastAsia"/>
        </w:rPr>
        <w:t xml:space="preserve"> </w:t>
      </w:r>
      <w:r>
        <w:t>环氧</w:t>
      </w:r>
      <w:r>
        <w:rPr>
          <w:rFonts w:hint="eastAsia"/>
        </w:rPr>
        <w:t>树脂</w:t>
      </w:r>
      <w:r>
        <w:t>红外光谱图</w:t>
      </w:r>
    </w:p>
    <w:p w14:paraId="46D566BC">
      <w:pPr>
        <w:pStyle w:val="175"/>
        <w:numPr>
          <w:ilvl w:val="1"/>
          <w:numId w:val="6"/>
        </w:numPr>
        <w:spacing w:before="156" w:after="156"/>
      </w:pPr>
      <w:r>
        <w:rPr>
          <w:rFonts w:hint="eastAsia"/>
        </w:rPr>
        <w:t>聚乙烯</w:t>
      </w:r>
    </w:p>
    <w:p w14:paraId="15C76454">
      <w:pPr>
        <w:pStyle w:val="6"/>
        <w:rPr>
          <w:rFonts w:ascii="Times New Roman"/>
        </w:rPr>
      </w:pPr>
      <w:r>
        <w:rPr>
          <w:rFonts w:ascii="Times New Roman"/>
        </w:rPr>
        <w:t>聚乙烯（PE）常用于储水罐、电缆护套、防潮膜等建筑制品。聚乙烯（PE）的典型红外光谱图见图B.4。</w:t>
      </w:r>
    </w:p>
    <w:p w14:paraId="0453A3C2">
      <w:pPr>
        <w:overflowPunct w:val="0"/>
        <w:topLinePunct/>
        <w:ind w:firstLine="0" w:firstLineChars="0"/>
        <w:jc w:val="center"/>
      </w:pPr>
      <w:r>
        <w:drawing>
          <wp:inline distT="0" distB="0" distL="0" distR="0">
            <wp:extent cx="3999230" cy="2519680"/>
            <wp:effectExtent l="0" t="0" r="1270" b="0"/>
            <wp:docPr id="5" name="图片 5" descr="F:\标准\Origin作图\P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标准\Origin作图\PE.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38BBACE9">
      <w:pPr>
        <w:overflowPunct w:val="0"/>
        <w:topLinePunct/>
        <w:ind w:firstLine="0" w:firstLineChars="0"/>
        <w:jc w:val="center"/>
      </w:pPr>
      <w:r>
        <w:t>说明：X——波数，cm</w:t>
      </w:r>
      <w:r>
        <w:rPr>
          <w:vertAlign w:val="superscript"/>
        </w:rPr>
        <w:t>-1</w:t>
      </w:r>
      <w:r>
        <w:t>；Y——透过率，%。</w:t>
      </w:r>
    </w:p>
    <w:p w14:paraId="52A0CCAA">
      <w:pPr>
        <w:pStyle w:val="12"/>
        <w:overflowPunct w:val="0"/>
        <w:topLinePunct/>
        <w:spacing w:before="0" w:after="0"/>
        <w:jc w:val="center"/>
      </w:pPr>
      <w:r>
        <w:rPr>
          <w:rFonts w:hint="eastAsia" w:ascii="黑体" w:hAnsi="黑体" w:cs="Times New Roman"/>
          <w:kern w:val="0"/>
          <w:sz w:val="21"/>
        </w:rPr>
        <w:t>图B.</w:t>
      </w:r>
      <w:r>
        <w:rPr>
          <w:rFonts w:ascii="黑体" w:hAnsi="黑体" w:cs="Times New Roman"/>
          <w:kern w:val="0"/>
          <w:sz w:val="21"/>
        </w:rPr>
        <w:t xml:space="preserve">4 </w:t>
      </w:r>
      <w:r>
        <w:rPr>
          <w:rFonts w:hint="eastAsia" w:ascii="黑体" w:hAnsi="黑体" w:cs="Times New Roman"/>
          <w:kern w:val="0"/>
          <w:sz w:val="21"/>
        </w:rPr>
        <w:t>聚乙烯红外光谱图</w:t>
      </w:r>
    </w:p>
    <w:p w14:paraId="7F07B366">
      <w:pPr>
        <w:pStyle w:val="175"/>
        <w:numPr>
          <w:ilvl w:val="1"/>
          <w:numId w:val="6"/>
        </w:numPr>
        <w:spacing w:before="156" w:after="156"/>
      </w:pPr>
      <w:r>
        <w:rPr>
          <w:rFonts w:hint="eastAsia"/>
        </w:rPr>
        <w:t>聚丙烯</w:t>
      </w:r>
    </w:p>
    <w:p w14:paraId="71680399">
      <w:pPr>
        <w:pStyle w:val="6"/>
        <w:rPr>
          <w:rFonts w:ascii="Times New Roman"/>
        </w:rPr>
      </w:pPr>
      <w:r>
        <w:rPr>
          <w:rFonts w:hint="eastAsia"/>
        </w:rPr>
        <w:t>聚</w:t>
      </w:r>
      <w:r>
        <w:rPr>
          <w:rFonts w:ascii="Times New Roman"/>
        </w:rPr>
        <w:t>丙烯（PP）常用于输水管、卫生洁具等建筑制品。聚丙烯（PP）的典型红外光谱图见图B.5。</w:t>
      </w:r>
    </w:p>
    <w:p w14:paraId="0CBD09D7">
      <w:pPr>
        <w:overflowPunct w:val="0"/>
        <w:topLinePunct/>
        <w:ind w:firstLine="0" w:firstLineChars="0"/>
        <w:jc w:val="center"/>
      </w:pPr>
      <w:r>
        <w:drawing>
          <wp:inline distT="0" distB="0" distL="0" distR="0">
            <wp:extent cx="3999230" cy="2519680"/>
            <wp:effectExtent l="0" t="0" r="1270" b="0"/>
            <wp:docPr id="8" name="图片 8" descr="F:\标准\Origin作图\PP.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标准\Origin作图\PP.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0F07442F">
      <w:pPr>
        <w:overflowPunct w:val="0"/>
        <w:topLinePunct/>
        <w:ind w:firstLine="0" w:firstLineChars="0"/>
        <w:jc w:val="center"/>
      </w:pPr>
      <w:r>
        <w:t>说明：X——波数，cm</w:t>
      </w:r>
      <w:r>
        <w:rPr>
          <w:vertAlign w:val="superscript"/>
        </w:rPr>
        <w:t>-1</w:t>
      </w:r>
      <w:r>
        <w:t>；Y——透过率，%。</w:t>
      </w:r>
    </w:p>
    <w:p w14:paraId="109F3E56">
      <w:pPr>
        <w:pStyle w:val="12"/>
        <w:overflowPunct w:val="0"/>
        <w:topLinePunct/>
        <w:spacing w:before="0" w:after="0"/>
        <w:jc w:val="center"/>
        <w:rPr>
          <w:rFonts w:ascii="黑体" w:hAnsi="黑体" w:cs="Times New Roman"/>
          <w:kern w:val="0"/>
          <w:sz w:val="21"/>
        </w:rPr>
      </w:pPr>
      <w:r>
        <w:rPr>
          <w:rFonts w:hint="eastAsia" w:ascii="黑体" w:hAnsi="黑体" w:cs="Times New Roman"/>
          <w:kern w:val="0"/>
          <w:sz w:val="21"/>
        </w:rPr>
        <w:t>图B.</w:t>
      </w:r>
      <w:r>
        <w:rPr>
          <w:rFonts w:ascii="黑体" w:hAnsi="黑体" w:cs="Times New Roman"/>
          <w:kern w:val="0"/>
          <w:sz w:val="21"/>
        </w:rPr>
        <w:t xml:space="preserve">5 </w:t>
      </w:r>
      <w:r>
        <w:rPr>
          <w:rFonts w:hint="eastAsia" w:ascii="黑体" w:hAnsi="黑体" w:cs="Times New Roman"/>
          <w:kern w:val="0"/>
          <w:sz w:val="21"/>
        </w:rPr>
        <w:t>聚丙烯红外光谱图</w:t>
      </w:r>
    </w:p>
    <w:p w14:paraId="660CABE7">
      <w:pPr>
        <w:pStyle w:val="175"/>
        <w:numPr>
          <w:ilvl w:val="1"/>
          <w:numId w:val="6"/>
        </w:numPr>
        <w:spacing w:before="156" w:after="156"/>
      </w:pPr>
      <w:r>
        <w:rPr>
          <w:rFonts w:hint="eastAsia"/>
        </w:rPr>
        <w:t>聚氯乙烯</w:t>
      </w:r>
    </w:p>
    <w:p w14:paraId="1D9D5C41">
      <w:pPr>
        <w:pStyle w:val="6"/>
        <w:rPr>
          <w:rFonts w:ascii="Times New Roman"/>
        </w:rPr>
      </w:pPr>
      <w:r>
        <w:rPr>
          <w:rFonts w:hint="eastAsia"/>
        </w:rPr>
        <w:t>聚氯</w:t>
      </w:r>
      <w:r>
        <w:rPr>
          <w:rFonts w:ascii="Times New Roman"/>
        </w:rPr>
        <w:t>乙烯（PVC）常用于PVC管道、门窗、橡胶地板等建筑制品。聚氯乙烯（PVC）的典型红外光谱图见图B.6。</w:t>
      </w:r>
    </w:p>
    <w:p w14:paraId="177BA233">
      <w:pPr>
        <w:overflowPunct w:val="0"/>
        <w:topLinePunct/>
        <w:ind w:firstLine="0" w:firstLineChars="0"/>
        <w:jc w:val="center"/>
      </w:pPr>
      <w:r>
        <w:drawing>
          <wp:inline distT="0" distB="0" distL="0" distR="0">
            <wp:extent cx="3999230" cy="2519680"/>
            <wp:effectExtent l="0" t="0" r="1270" b="0"/>
            <wp:docPr id="9" name="图片 9" descr="F:\标准\Origin作图\PV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标准\Origin作图\PVC.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5B813742">
      <w:pPr>
        <w:overflowPunct w:val="0"/>
        <w:topLinePunct/>
        <w:ind w:firstLine="0" w:firstLineChars="0"/>
        <w:jc w:val="center"/>
      </w:pPr>
      <w:r>
        <w:t>说明：X——波数，cm</w:t>
      </w:r>
      <w:r>
        <w:rPr>
          <w:vertAlign w:val="superscript"/>
        </w:rPr>
        <w:t>-1</w:t>
      </w:r>
      <w:r>
        <w:t>；Y——透过率，%。</w:t>
      </w:r>
    </w:p>
    <w:p w14:paraId="35D8F58F">
      <w:pPr>
        <w:pStyle w:val="12"/>
        <w:overflowPunct w:val="0"/>
        <w:topLinePunct/>
        <w:spacing w:before="0" w:after="0"/>
        <w:ind w:firstLine="400"/>
        <w:jc w:val="center"/>
      </w:pPr>
      <w:r>
        <w:rPr>
          <w:rFonts w:hint="eastAsia"/>
        </w:rPr>
        <w:t>图B.</w:t>
      </w:r>
      <w:r>
        <w:t xml:space="preserve">6 </w:t>
      </w:r>
      <w:r>
        <w:rPr>
          <w:rFonts w:hint="eastAsia"/>
        </w:rPr>
        <w:t>聚氯乙烯红外光谱图</w:t>
      </w:r>
    </w:p>
    <w:p w14:paraId="445D51E2">
      <w:pPr>
        <w:pStyle w:val="175"/>
        <w:numPr>
          <w:ilvl w:val="1"/>
          <w:numId w:val="6"/>
        </w:numPr>
        <w:spacing w:before="156" w:after="156"/>
      </w:pPr>
      <w:r>
        <w:rPr>
          <w:rFonts w:hint="eastAsia"/>
        </w:rPr>
        <w:t>聚碳酸酯</w:t>
      </w:r>
    </w:p>
    <w:p w14:paraId="09C21B1B">
      <w:pPr>
        <w:pStyle w:val="6"/>
        <w:rPr>
          <w:rFonts w:ascii="Times New Roman"/>
        </w:rPr>
      </w:pPr>
      <w:r>
        <w:rPr>
          <w:rFonts w:hint="eastAsia"/>
        </w:rPr>
        <w:t>聚碳酸</w:t>
      </w:r>
      <w:r>
        <w:rPr>
          <w:rFonts w:ascii="Times New Roman"/>
        </w:rPr>
        <w:t>酯（PC）常用于采光板、耐力板、防护栏等建筑制品。聚碳酸酯（PC）的典型红外光谱图见图B.7。</w:t>
      </w:r>
    </w:p>
    <w:p w14:paraId="7A4FED2B">
      <w:pPr>
        <w:overflowPunct w:val="0"/>
        <w:topLinePunct/>
        <w:ind w:firstLine="0" w:firstLineChars="0"/>
        <w:jc w:val="center"/>
      </w:pPr>
      <w:r>
        <w:drawing>
          <wp:inline distT="0" distB="0" distL="0" distR="0">
            <wp:extent cx="3999230" cy="2519680"/>
            <wp:effectExtent l="0" t="0" r="1270" b="0"/>
            <wp:docPr id="10" name="图片 10" descr="F:\标准\Origin作图\P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标准\Origin作图\PC.t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5D43253A">
      <w:pPr>
        <w:overflowPunct w:val="0"/>
        <w:topLinePunct/>
        <w:ind w:firstLine="0" w:firstLineChars="0"/>
        <w:jc w:val="center"/>
      </w:pPr>
      <w:r>
        <w:t>说明：X——波数，cm</w:t>
      </w:r>
      <w:r>
        <w:rPr>
          <w:vertAlign w:val="superscript"/>
        </w:rPr>
        <w:t>-1</w:t>
      </w:r>
      <w:r>
        <w:t>；Y——透过率，%。</w:t>
      </w:r>
    </w:p>
    <w:p w14:paraId="5975F348">
      <w:pPr>
        <w:pStyle w:val="12"/>
        <w:overflowPunct w:val="0"/>
        <w:topLinePunct/>
        <w:spacing w:before="0" w:after="0"/>
        <w:ind w:firstLine="400"/>
        <w:jc w:val="center"/>
      </w:pPr>
      <w:r>
        <w:rPr>
          <w:rFonts w:hint="eastAsia"/>
        </w:rPr>
        <w:t>图B.</w:t>
      </w:r>
      <w:r>
        <w:t xml:space="preserve">7 </w:t>
      </w:r>
      <w:r>
        <w:rPr>
          <w:rFonts w:hint="eastAsia"/>
        </w:rPr>
        <w:t>聚碳酸酯红外光谱图</w:t>
      </w:r>
    </w:p>
    <w:p w14:paraId="0EFF46F3">
      <w:pPr>
        <w:pStyle w:val="175"/>
        <w:numPr>
          <w:ilvl w:val="1"/>
          <w:numId w:val="6"/>
        </w:numPr>
        <w:spacing w:before="156" w:after="156"/>
      </w:pPr>
      <w:r>
        <w:rPr>
          <w:rFonts w:hint="eastAsia"/>
        </w:rPr>
        <w:t>聚对苯二甲酸乙二醇酯</w:t>
      </w:r>
    </w:p>
    <w:p w14:paraId="31F072D0">
      <w:pPr>
        <w:pStyle w:val="173"/>
        <w:ind w:firstLine="420"/>
      </w:pPr>
      <w:r>
        <w:rPr>
          <w:rFonts w:hint="eastAsia"/>
        </w:rPr>
        <w:t>聚对苯二甲酸乙二醇酯</w:t>
      </w:r>
      <w:r>
        <w:rPr>
          <w:rFonts w:ascii="Times New Roman"/>
        </w:rPr>
        <w:t>（</w:t>
      </w:r>
      <w:r>
        <w:rPr>
          <w:rFonts w:hint="eastAsia" w:ascii="Times New Roman"/>
        </w:rPr>
        <w:t>P</w:t>
      </w:r>
      <w:r>
        <w:rPr>
          <w:rFonts w:ascii="Times New Roman"/>
        </w:rPr>
        <w:t>ET），常用于</w:t>
      </w:r>
      <w:r>
        <w:rPr>
          <w:rFonts w:hint="eastAsia" w:ascii="Times New Roman"/>
        </w:rPr>
        <w:t>幕墙装饰膜、防水材料</w:t>
      </w:r>
      <w:r>
        <w:rPr>
          <w:rFonts w:ascii="Times New Roman"/>
        </w:rPr>
        <w:t>等建筑制品。</w:t>
      </w:r>
      <w:r>
        <w:rPr>
          <w:rFonts w:hint="eastAsia"/>
        </w:rPr>
        <w:t>聚对苯二甲酸乙二醇酯</w:t>
      </w:r>
      <w:r>
        <w:rPr>
          <w:rFonts w:ascii="Times New Roman"/>
        </w:rPr>
        <w:t>（</w:t>
      </w:r>
      <w:r>
        <w:rPr>
          <w:rFonts w:hint="eastAsia" w:ascii="Times New Roman"/>
        </w:rPr>
        <w:t>P</w:t>
      </w:r>
      <w:r>
        <w:rPr>
          <w:rFonts w:ascii="Times New Roman"/>
        </w:rPr>
        <w:t>ET）的典型红外光谱图见图B.8</w:t>
      </w:r>
    </w:p>
    <w:p w14:paraId="5095FEE4">
      <w:pPr>
        <w:overflowPunct w:val="0"/>
        <w:topLinePunct/>
        <w:ind w:firstLine="0" w:firstLineChars="0"/>
        <w:jc w:val="center"/>
      </w:pPr>
      <w:r>
        <w:drawing>
          <wp:inline distT="0" distB="0" distL="0" distR="0">
            <wp:extent cx="3999230" cy="2519680"/>
            <wp:effectExtent l="0" t="0" r="1270" b="0"/>
            <wp:docPr id="18" name="图片 18" descr="F:\标准\Origin作图\P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标准\Origin作图\PET.t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4E3DCB3E">
      <w:pPr>
        <w:overflowPunct w:val="0"/>
        <w:topLinePunct/>
        <w:ind w:firstLine="0" w:firstLineChars="0"/>
        <w:jc w:val="center"/>
      </w:pPr>
      <w:r>
        <w:t>说明：X——波数，cm</w:t>
      </w:r>
      <w:r>
        <w:rPr>
          <w:vertAlign w:val="superscript"/>
        </w:rPr>
        <w:t>-1</w:t>
      </w:r>
      <w:r>
        <w:t>；Y——透过率，%。</w:t>
      </w:r>
    </w:p>
    <w:p w14:paraId="714F1F34">
      <w:pPr>
        <w:pStyle w:val="12"/>
        <w:overflowPunct w:val="0"/>
        <w:topLinePunct/>
        <w:spacing w:before="0" w:after="0"/>
        <w:ind w:firstLine="400"/>
        <w:jc w:val="center"/>
      </w:pPr>
      <w:r>
        <w:rPr>
          <w:rFonts w:hint="eastAsia"/>
        </w:rPr>
        <w:t>图B.</w:t>
      </w:r>
      <w:r>
        <w:t xml:space="preserve">8 </w:t>
      </w:r>
      <w:r>
        <w:rPr>
          <w:rFonts w:hint="eastAsia"/>
        </w:rPr>
        <w:t>聚对苯二甲酸乙二醇酯红外光谱图</w:t>
      </w:r>
    </w:p>
    <w:p w14:paraId="6C964773">
      <w:pPr>
        <w:pStyle w:val="175"/>
        <w:numPr>
          <w:ilvl w:val="1"/>
          <w:numId w:val="6"/>
        </w:numPr>
        <w:spacing w:before="156" w:after="156"/>
      </w:pPr>
      <w:r>
        <w:rPr>
          <w:rFonts w:hint="eastAsia"/>
        </w:rPr>
        <w:t>聚酰胺</w:t>
      </w:r>
    </w:p>
    <w:p w14:paraId="64932E22">
      <w:pPr>
        <w:pStyle w:val="6"/>
        <w:rPr>
          <w:rFonts w:ascii="Times New Roman"/>
        </w:rPr>
      </w:pPr>
      <w:r>
        <w:rPr>
          <w:rFonts w:hint="eastAsia"/>
        </w:rPr>
        <w:t>聚酰</w:t>
      </w:r>
      <w:r>
        <w:rPr>
          <w:rFonts w:ascii="Times New Roman"/>
        </w:rPr>
        <w:t>胺（PA）常用于门窗隔热条、绝缘套管等建筑制品。</w:t>
      </w:r>
      <w:r>
        <w:rPr>
          <w:rFonts w:hint="eastAsia"/>
        </w:rPr>
        <w:t>聚酰</w:t>
      </w:r>
      <w:r>
        <w:rPr>
          <w:rFonts w:ascii="Times New Roman"/>
        </w:rPr>
        <w:t>胺（PA）的典型红外光谱图见图B.9。</w:t>
      </w:r>
    </w:p>
    <w:p w14:paraId="01F1FC57">
      <w:pPr>
        <w:overflowPunct w:val="0"/>
        <w:topLinePunct/>
        <w:ind w:firstLine="0" w:firstLineChars="0"/>
        <w:jc w:val="center"/>
      </w:pPr>
      <w:r>
        <w:drawing>
          <wp:inline distT="0" distB="0" distL="0" distR="0">
            <wp:extent cx="3999230" cy="2519680"/>
            <wp:effectExtent l="0" t="0" r="1270" b="0"/>
            <wp:docPr id="20" name="图片 20" descr="F:\标准\Origin作图\P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标准\Origin作图\PA.ti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4C5D0C3A">
      <w:pPr>
        <w:overflowPunct w:val="0"/>
        <w:topLinePunct/>
        <w:ind w:firstLine="0" w:firstLineChars="0"/>
        <w:jc w:val="center"/>
      </w:pPr>
      <w:r>
        <w:t>说明：X——波数，cm</w:t>
      </w:r>
      <w:r>
        <w:rPr>
          <w:vertAlign w:val="superscript"/>
        </w:rPr>
        <w:t>-1</w:t>
      </w:r>
      <w:r>
        <w:t>；Y——透过率，%。</w:t>
      </w:r>
    </w:p>
    <w:p w14:paraId="2D5EC67D">
      <w:pPr>
        <w:pStyle w:val="12"/>
        <w:overflowPunct w:val="0"/>
        <w:topLinePunct/>
        <w:spacing w:before="0" w:after="0"/>
        <w:ind w:firstLine="400"/>
        <w:jc w:val="center"/>
      </w:pPr>
      <w:r>
        <w:rPr>
          <w:rFonts w:hint="eastAsia"/>
        </w:rPr>
        <w:t>图B.</w:t>
      </w:r>
      <w:r>
        <w:t xml:space="preserve">9 </w:t>
      </w:r>
      <w:r>
        <w:rPr>
          <w:rFonts w:hint="eastAsia"/>
        </w:rPr>
        <w:t>聚酰胺红外光谱图</w:t>
      </w:r>
    </w:p>
    <w:p w14:paraId="7B23CCCD">
      <w:pPr>
        <w:pStyle w:val="175"/>
        <w:numPr>
          <w:ilvl w:val="1"/>
          <w:numId w:val="6"/>
        </w:numPr>
        <w:spacing w:before="156" w:after="156"/>
      </w:pPr>
      <w:r>
        <w:rPr>
          <w:rFonts w:hint="eastAsia"/>
        </w:rPr>
        <w:t>聚苯乙烯</w:t>
      </w:r>
    </w:p>
    <w:p w14:paraId="09D21822">
      <w:r>
        <w:rPr>
          <w:rFonts w:hint="eastAsia"/>
        </w:rPr>
        <w:t>聚苯乙烯</w:t>
      </w:r>
      <w:r>
        <w:t>（</w:t>
      </w:r>
      <w:r>
        <w:rPr>
          <w:rFonts w:hint="eastAsia"/>
        </w:rPr>
        <w:t>P</w:t>
      </w:r>
      <w:r>
        <w:t>S）常用于</w:t>
      </w:r>
      <w:r>
        <w:rPr>
          <w:rFonts w:hint="eastAsia"/>
        </w:rPr>
        <w:t>保温隔热材料、墙体与屋面构件</w:t>
      </w:r>
      <w:r>
        <w:t>等建筑制品。</w:t>
      </w:r>
      <w:r>
        <w:rPr>
          <w:rFonts w:hint="eastAsia"/>
        </w:rPr>
        <w:t>聚苯乙烯</w:t>
      </w:r>
      <w:r>
        <w:t>（PS）的典型红外光谱图见图B.10</w:t>
      </w:r>
    </w:p>
    <w:p w14:paraId="1F35D488">
      <w:pPr>
        <w:overflowPunct w:val="0"/>
        <w:topLinePunct/>
        <w:ind w:firstLine="0" w:firstLineChars="0"/>
        <w:jc w:val="center"/>
      </w:pPr>
      <w:r>
        <w:drawing>
          <wp:inline distT="0" distB="0" distL="0" distR="0">
            <wp:extent cx="3999230" cy="2519680"/>
            <wp:effectExtent l="0" t="0" r="1270" b="0"/>
            <wp:docPr id="12" name="图片 12" descr="F:\标准\Origin作图\PV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标准\Origin作图\PVC.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6895DEC2">
      <w:pPr>
        <w:pStyle w:val="12"/>
        <w:overflowPunct w:val="0"/>
        <w:topLinePunct/>
        <w:spacing w:before="0" w:after="0"/>
        <w:ind w:firstLine="400"/>
        <w:jc w:val="center"/>
      </w:pPr>
      <w:r>
        <w:rPr>
          <w:rFonts w:hint="eastAsia"/>
        </w:rPr>
        <w:t>图B.</w:t>
      </w:r>
      <w:r>
        <w:t xml:space="preserve">10 </w:t>
      </w:r>
      <w:r>
        <w:rPr>
          <w:rFonts w:hint="eastAsia"/>
        </w:rPr>
        <w:t>聚氯乙烯红外光谱图</w:t>
      </w:r>
    </w:p>
    <w:p w14:paraId="1D18E06D">
      <w:pPr>
        <w:ind w:firstLine="0" w:firstLineChars="0"/>
        <w:rPr>
          <w:rFonts w:hint="eastAsia"/>
        </w:rPr>
      </w:pPr>
    </w:p>
    <w:p w14:paraId="3A800D5F">
      <w:pPr>
        <w:pStyle w:val="175"/>
        <w:numPr>
          <w:ilvl w:val="1"/>
          <w:numId w:val="6"/>
        </w:numPr>
        <w:spacing w:before="156" w:after="156"/>
      </w:pPr>
      <w:r>
        <w:rPr>
          <w:rFonts w:hint="eastAsia"/>
        </w:rPr>
        <w:t>丙烯腈-丁二烯-苯乙烯共聚物</w:t>
      </w:r>
    </w:p>
    <w:p w14:paraId="19C07FA8">
      <w:pPr>
        <w:pStyle w:val="6"/>
        <w:rPr>
          <w:rFonts w:ascii="Times New Roman"/>
        </w:rPr>
      </w:pPr>
      <w:r>
        <w:rPr>
          <w:rFonts w:hint="eastAsia"/>
        </w:rPr>
        <w:t>丙烯腈-丁二烯-苯乙烯共聚</w:t>
      </w:r>
      <w:r>
        <w:rPr>
          <w:rFonts w:ascii="Times New Roman"/>
        </w:rPr>
        <w:t>物（ABS）常用于管材、卫生洁具、建筑装饰板等建筑制品。丙烯腈-丁二烯-苯乙烯共聚物（ABS）的典型红外光谱图见图B.11。</w:t>
      </w:r>
    </w:p>
    <w:p w14:paraId="42F32F33">
      <w:pPr>
        <w:overflowPunct w:val="0"/>
        <w:topLinePunct/>
        <w:ind w:firstLine="0" w:firstLineChars="0"/>
        <w:jc w:val="center"/>
      </w:pPr>
      <w:r>
        <w:drawing>
          <wp:inline distT="0" distB="0" distL="0" distR="0">
            <wp:extent cx="3999230" cy="2519680"/>
            <wp:effectExtent l="0" t="0" r="1270" b="0"/>
            <wp:docPr id="19" name="图片 19" descr="F:\标准\Origin作图\AB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标准\Origin作图\ABS.ti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1D89272A">
      <w:pPr>
        <w:overflowPunct w:val="0"/>
        <w:topLinePunct/>
        <w:ind w:firstLine="0" w:firstLineChars="0"/>
        <w:jc w:val="center"/>
      </w:pPr>
      <w:r>
        <w:t>说明：X——波数，cm</w:t>
      </w:r>
      <w:r>
        <w:rPr>
          <w:vertAlign w:val="superscript"/>
        </w:rPr>
        <w:t>-1</w:t>
      </w:r>
      <w:r>
        <w:t>；Y——透过率，%。</w:t>
      </w:r>
    </w:p>
    <w:p w14:paraId="21F6C4AC">
      <w:pPr>
        <w:pStyle w:val="12"/>
        <w:overflowPunct w:val="0"/>
        <w:topLinePunct/>
        <w:spacing w:before="0" w:after="0"/>
        <w:ind w:firstLine="400"/>
        <w:jc w:val="center"/>
      </w:pPr>
      <w:r>
        <w:rPr>
          <w:rFonts w:hint="eastAsia"/>
        </w:rPr>
        <w:t>图B.</w:t>
      </w:r>
      <w:r>
        <w:t xml:space="preserve">11 </w:t>
      </w:r>
      <w:r>
        <w:rPr>
          <w:rFonts w:hint="eastAsia"/>
        </w:rPr>
        <w:t>丙烯腈-丁二烯-苯乙烯共聚物红外光谱图</w:t>
      </w:r>
    </w:p>
    <w:p w14:paraId="7EABF382">
      <w:pPr>
        <w:pStyle w:val="175"/>
        <w:numPr>
          <w:ilvl w:val="1"/>
          <w:numId w:val="6"/>
        </w:numPr>
        <w:spacing w:before="156" w:after="156"/>
      </w:pPr>
      <w:r>
        <w:rPr>
          <w:rFonts w:hint="eastAsia"/>
        </w:rPr>
        <w:t>乙烯-乙酸乙烯酯共聚物</w:t>
      </w:r>
    </w:p>
    <w:p w14:paraId="7884050C">
      <w:pPr>
        <w:pStyle w:val="6"/>
        <w:rPr>
          <w:rFonts w:ascii="Times New Roman"/>
        </w:rPr>
      </w:pPr>
      <w:r>
        <w:rPr>
          <w:rFonts w:hint="eastAsia"/>
        </w:rPr>
        <w:t>乙烯-乙酸乙烯酯</w:t>
      </w:r>
      <w:r>
        <w:rPr>
          <w:rFonts w:ascii="Times New Roman"/>
        </w:rPr>
        <w:t>共聚物（EVA）常用于防水板、发泡地垫等建筑制品。乙烯-醋酸乙烯酯共聚物（EVA）的典型红外光谱图见图B.12。</w:t>
      </w:r>
    </w:p>
    <w:p w14:paraId="17D2CAD9">
      <w:pPr>
        <w:overflowPunct w:val="0"/>
        <w:topLinePunct/>
        <w:ind w:firstLine="0" w:firstLineChars="0"/>
        <w:jc w:val="center"/>
      </w:pPr>
      <w:r>
        <w:drawing>
          <wp:inline distT="0" distB="0" distL="0" distR="0">
            <wp:extent cx="3999230" cy="2519680"/>
            <wp:effectExtent l="0" t="0" r="1270" b="0"/>
            <wp:docPr id="11" name="图片 11" descr="F:\标准\Origin作图\E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标准\Origin作图\EVA.tif"/>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999600" cy="2520000"/>
                    </a:xfrm>
                    <a:prstGeom prst="rect">
                      <a:avLst/>
                    </a:prstGeom>
                    <a:noFill/>
                    <a:ln>
                      <a:noFill/>
                    </a:ln>
                  </pic:spPr>
                </pic:pic>
              </a:graphicData>
            </a:graphic>
          </wp:inline>
        </w:drawing>
      </w:r>
    </w:p>
    <w:p w14:paraId="43D034A4">
      <w:pPr>
        <w:overflowPunct w:val="0"/>
        <w:topLinePunct/>
        <w:ind w:firstLine="0" w:firstLineChars="0"/>
        <w:jc w:val="center"/>
      </w:pPr>
      <w:r>
        <w:t>说明：X——波数，cm</w:t>
      </w:r>
      <w:r>
        <w:rPr>
          <w:vertAlign w:val="superscript"/>
        </w:rPr>
        <w:t>-1</w:t>
      </w:r>
      <w:r>
        <w:t>；Y——透过率，%。</w:t>
      </w:r>
    </w:p>
    <w:p w14:paraId="79DF51F5">
      <w:pPr>
        <w:pStyle w:val="12"/>
        <w:overflowPunct w:val="0"/>
        <w:topLinePunct/>
        <w:spacing w:before="0" w:after="0"/>
        <w:ind w:firstLine="400"/>
        <w:jc w:val="center"/>
      </w:pPr>
      <w:r>
        <w:rPr>
          <w:rFonts w:hint="eastAsia"/>
        </w:rPr>
        <w:t>图B.</w:t>
      </w:r>
      <w:r>
        <w:t>12</w:t>
      </w:r>
      <w:bookmarkStart w:id="79" w:name="_MON_1823431435"/>
      <w:bookmarkEnd w:id="79"/>
      <w:r>
        <w:t xml:space="preserve"> </w:t>
      </w:r>
      <w:r>
        <w:rPr>
          <w:rFonts w:hint="eastAsia"/>
        </w:rPr>
        <w:t>乙烯-乙酸乙烯酯共聚物红外光谱图</w:t>
      </w:r>
    </w:p>
    <w:p w14:paraId="47E77A8C">
      <w:pPr>
        <w:pStyle w:val="6"/>
        <w:ind w:firstLine="0" w:firstLineChars="0"/>
        <w:rPr>
          <w:rFonts w:ascii="Times New Roman"/>
        </w:rPr>
      </w:pPr>
    </w:p>
    <w:bookmarkEnd w:id="68"/>
    <w:bookmarkEnd w:id="69"/>
    <w:bookmarkEnd w:id="70"/>
    <w:bookmarkEnd w:id="71"/>
    <w:bookmarkEnd w:id="72"/>
    <w:bookmarkEnd w:id="73"/>
    <w:p w14:paraId="09CBE91F">
      <w:pPr>
        <w:pStyle w:val="6"/>
        <w:tabs>
          <w:tab w:val="left" w:pos="709"/>
        </w:tabs>
        <w:ind w:firstLine="0" w:firstLineChars="0"/>
        <w:rPr>
          <w:rFonts w:ascii="Times New Roman"/>
        </w:rPr>
      </w:pPr>
    </w:p>
    <w:sectPr>
      <w:headerReference r:id="rId14" w:type="default"/>
      <w:footerReference r:id="rId15" w:type="default"/>
      <w:pgSz w:w="11906" w:h="16838"/>
      <w:pgMar w:top="1440" w:right="1133"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FZSSK--GBK1-0">
    <w:altName w:val="微软雅黑"/>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E-BZ">
    <w:altName w:val="微软雅黑"/>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113D9">
    <w:pPr>
      <w:pStyle w:val="25"/>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98C8F3">
                          <w:pPr>
                            <w:pStyle w:val="25"/>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798C8F3">
                    <w:pPr>
                      <w:pStyle w:val="25"/>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496A9">
    <w:pPr>
      <w:pStyle w:val="25"/>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55AAC">
                          <w:pPr>
                            <w:pStyle w:val="25"/>
                            <w:ind w:firstLine="36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6C55AAC">
                    <w:pPr>
                      <w:pStyle w:val="25"/>
                      <w:ind w:firstLine="36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C1101">
    <w:pPr>
      <w:pStyle w:val="2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2F43F">
    <w:pPr>
      <w:pStyle w:val="25"/>
      <w:ind w:firstLine="9180" w:firstLineChars="5100"/>
    </w:pPr>
    <w:r>
      <mc:AlternateContent>
        <mc:Choice Requires="wps">
          <w:drawing>
            <wp:anchor distT="0" distB="0" distL="114300" distR="114300" simplePos="0" relativeHeight="251661312" behindDoc="0" locked="0" layoutInCell="1" allowOverlap="1">
              <wp:simplePos x="0" y="0"/>
              <wp:positionH relativeFrom="margin">
                <wp:posOffset>5640705</wp:posOffset>
              </wp:positionH>
              <wp:positionV relativeFrom="paragraph">
                <wp:posOffset>0</wp:posOffset>
              </wp:positionV>
              <wp:extent cx="299085"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29908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AAB149">
                          <w:pPr>
                            <w:pStyle w:val="25"/>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44.15pt;margin-top:0pt;height:144pt;width:23.55pt;mso-position-horizontal-relative:margin;z-index:251661312;mso-width-relative:page;mso-height-relative:page;" filled="f" stroked="f" coordsize="21600,21600" o:gfxdata="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3rbh7dYAAAAIAQAADwAAAAAAAAABACAAAAAiAAAAZHJzL2Rvd25yZXYueG1s&#10;UEsBAhQAFAAAAAgAh07iQMY5KYszAgAAVgQAAA4AAAAAAAAAAQAgAAAAJQEAAGRycy9lMm9Eb2Mu&#10;eG1sUEsFBgAAAAAGAAYAWQEAAMoFAAAAAA==&#10;">
              <v:fill on="f" focussize="0,0"/>
              <v:stroke on="f" weight="0.5pt"/>
              <v:imagedata o:title=""/>
              <o:lock v:ext="edit" aspectratio="f"/>
              <v:textbox inset="0mm,0mm,0mm,0mm" style="mso-fit-shape-to-text:t;">
                <w:txbxContent>
                  <w:p w14:paraId="26AAB149">
                    <w:pPr>
                      <w:pStyle w:val="25"/>
                      <w:ind w:firstLine="36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E9CA7">
    <w:pPr>
      <w:pStyle w:val="25"/>
      <w:ind w:firstLine="9180" w:firstLineChars="5100"/>
    </w:pPr>
    <w:r>
      <w:rPr>
        <w:rFonts w:hint="eastAsia"/>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5C9B4">
    <w:pPr>
      <w:pStyle w:val="56"/>
      <w:ind w:right="558" w:firstLine="4410" w:firstLineChars="2450"/>
      <w:jc w:val="both"/>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F2388">
                          <w:pPr>
                            <w:pStyle w:val="56"/>
                            <w:ind w:right="558" w:firstLine="4410" w:firstLineChars="2450"/>
                            <w:jc w:val="both"/>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A8F2388">
                    <w:pPr>
                      <w:pStyle w:val="56"/>
                      <w:ind w:right="558" w:firstLine="4410" w:firstLineChars="2450"/>
                      <w:jc w:val="both"/>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F5985">
    <w:pPr>
      <w:pStyle w:val="2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1C6FD">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C656">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09A79">
    <w:pPr>
      <w:pStyle w:val="26"/>
      <w:pBdr>
        <w:bottom w:val="none" w:color="auto" w:sz="0" w:space="0"/>
      </w:pBdr>
      <w:jc w:val="right"/>
      <w:rPr>
        <w:sz w:val="21"/>
        <w:szCs w:val="21"/>
      </w:rPr>
    </w:pPr>
    <w:r>
      <w:rPr>
        <w:sz w:val="21"/>
        <w:szCs w:val="21"/>
      </w:rPr>
      <w:t>T/CBMF 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36B3">
    <w:pPr>
      <w:pStyle w:val="55"/>
    </w:pPr>
    <w:r>
      <w:rPr>
        <w:rFonts w:hint="eastAsia"/>
      </w:rPr>
      <w:t>T</w:t>
    </w:r>
    <w:r>
      <w:t>/</w:t>
    </w:r>
    <w:r>
      <w:rPr>
        <w:rFonts w:hint="eastAsia"/>
      </w:rPr>
      <w:t>CBMF</w:t>
    </w:r>
    <w:r>
      <w:t>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22909"/>
    <w:multiLevelType w:val="multilevel"/>
    <w:tmpl w:val="83722909"/>
    <w:lvl w:ilvl="0" w:tentative="0">
      <w:start w:val="1"/>
      <w:numFmt w:val="upperLetter"/>
      <w:suff w:val="nothing"/>
      <w:lvlText w:val="附录%1"/>
      <w:lvlJc w:val="left"/>
      <w:pPr>
        <w:ind w:left="0" w:firstLine="0"/>
      </w:pPr>
      <w:rPr>
        <w:rFonts w:hint="eastAsia"/>
        <w:spacing w:val="100"/>
      </w:rPr>
    </w:lvl>
    <w:lvl w:ilvl="1" w:tentative="0">
      <w:start w:val="1"/>
      <w:numFmt w:val="decimal"/>
      <w:lvlRestart w:val="0"/>
      <w:pStyle w:val="175"/>
      <w:suff w:val="nothing"/>
      <w:lvlText w:val="%1.%2　"/>
      <w:lvlJc w:val="left"/>
      <w:pPr>
        <w:tabs>
          <w:tab w:val="left" w:pos="0"/>
        </w:tabs>
        <w:ind w:left="0" w:firstLine="0"/>
      </w:pPr>
      <w:rPr>
        <w:rFonts w:hint="default"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896B8728"/>
    <w:multiLevelType w:val="singleLevel"/>
    <w:tmpl w:val="896B8728"/>
    <w:lvl w:ilvl="0" w:tentative="0">
      <w:start w:val="1"/>
      <w:numFmt w:val="lowerLetter"/>
      <w:suff w:val="nothing"/>
      <w:lvlText w:val="%1）"/>
      <w:lvlJc w:val="left"/>
    </w:lvl>
  </w:abstractNum>
  <w:abstractNum w:abstractNumId="2">
    <w:nsid w:val="8FC72A23"/>
    <w:multiLevelType w:val="multilevel"/>
    <w:tmpl w:val="8FC72A23"/>
    <w:lvl w:ilvl="0" w:tentative="0">
      <w:start w:val="1"/>
      <w:numFmt w:val="upperLetter"/>
      <w:pStyle w:val="176"/>
      <w:lvlText w:val="%1"/>
      <w:lvlJc w:val="left"/>
      <w:pPr>
        <w:ind w:left="420" w:hanging="420"/>
      </w:pPr>
      <w:rPr>
        <w:rFonts w:hint="eastAsia"/>
      </w:rPr>
    </w:lvl>
    <w:lvl w:ilvl="1" w:tentative="0">
      <w:start w:val="1"/>
      <w:numFmt w:val="decimal"/>
      <w:lvlRestart w:val="0"/>
      <w:suff w:val="space"/>
      <w:lvlText w:val="图%1.%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B7194310"/>
    <w:multiLevelType w:val="multilevel"/>
    <w:tmpl w:val="B7194310"/>
    <w:lvl w:ilvl="0" w:tentative="0">
      <w:start w:val="1"/>
      <w:numFmt w:val="upperLetter"/>
      <w:pStyle w:val="174"/>
      <w:suff w:val="nothing"/>
      <w:lvlText w:val="附录%1"/>
      <w:lvlJc w:val="left"/>
      <w:pPr>
        <w:tabs>
          <w:tab w:val="left" w:pos="0"/>
        </w:tabs>
        <w:ind w:left="0" w:firstLine="0"/>
      </w:pPr>
      <w:rPr>
        <w:rFonts w:hint="default"/>
        <w:spacing w:val="100"/>
      </w:rPr>
    </w:lvl>
    <w:lvl w:ilvl="1" w:tentative="0">
      <w:start w:val="1"/>
      <w:numFmt w:val="decimal"/>
      <w:lvlRestart w:val="0"/>
      <w:suff w:val="nothing"/>
      <w:lvlText w:val="%1.%2　"/>
      <w:lvlJc w:val="left"/>
      <w:pPr>
        <w:tabs>
          <w:tab w:val="left" w:pos="0"/>
        </w:tabs>
        <w:ind w:left="0" w:firstLine="0"/>
      </w:pPr>
      <w:rPr>
        <w:rFonts w:hint="default"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E1CBF543"/>
    <w:multiLevelType w:val="multilevel"/>
    <w:tmpl w:val="E1CBF543"/>
    <w:lvl w:ilvl="0" w:tentative="0">
      <w:start w:val="1"/>
      <w:numFmt w:val="upperLetter"/>
      <w:pStyle w:val="7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F644563B"/>
    <w:multiLevelType w:val="singleLevel"/>
    <w:tmpl w:val="F644563B"/>
    <w:lvl w:ilvl="0" w:tentative="0">
      <w:start w:val="1"/>
      <w:numFmt w:val="lowerLetter"/>
      <w:suff w:val="nothing"/>
      <w:lvlText w:val="%1）"/>
      <w:lvlJc w:val="left"/>
    </w:lvl>
  </w:abstractNum>
  <w:abstractNum w:abstractNumId="6">
    <w:nsid w:val="23600694"/>
    <w:multiLevelType w:val="multilevel"/>
    <w:tmpl w:val="23600694"/>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suff w:val="space"/>
      <w:lvlText w:val="%1.%2.%3"/>
      <w:lvlJc w:val="left"/>
      <w:pPr>
        <w:ind w:left="0" w:firstLine="0"/>
      </w:pPr>
      <w:rPr>
        <w:rFonts w:hint="default" w:ascii="Times New Roman" w:hAnsi="Times New Roman" w:cs="Times New Roman"/>
      </w:rPr>
    </w:lvl>
    <w:lvl w:ilvl="3" w:tentative="0">
      <w:start w:val="1"/>
      <w:numFmt w:val="decimal"/>
      <w:pStyle w:val="7"/>
      <w:suff w:val="space"/>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7">
    <w:nsid w:val="3E823892"/>
    <w:multiLevelType w:val="multilevel"/>
    <w:tmpl w:val="3E823892"/>
    <w:lvl w:ilvl="0" w:tentative="0">
      <w:start w:val="1"/>
      <w:numFmt w:val="upperLetter"/>
      <w:pStyle w:val="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5065D579"/>
    <w:multiLevelType w:val="multilevel"/>
    <w:tmpl w:val="5065D579"/>
    <w:lvl w:ilvl="0" w:tentative="0">
      <w:start w:val="1"/>
      <w:numFmt w:val="upperLetter"/>
      <w:pStyle w:val="12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7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6CEA2025"/>
    <w:multiLevelType w:val="multilevel"/>
    <w:tmpl w:val="6CEA2025"/>
    <w:lvl w:ilvl="0" w:tentative="0">
      <w:start w:val="1"/>
      <w:numFmt w:val="none"/>
      <w:suff w:val="nothing"/>
      <w:lvlText w:val="%1"/>
      <w:lvlJc w:val="left"/>
      <w:rPr>
        <w:rFonts w:hint="default" w:ascii="Times New Roman" w:hAnsi="Times New Roman" w:cs="Times New Roman"/>
        <w:b/>
        <w:i w:val="0"/>
        <w:sz w:val="21"/>
      </w:rPr>
    </w:lvl>
    <w:lvl w:ilvl="1" w:tentative="0">
      <w:start w:val="1"/>
      <w:numFmt w:val="decimal"/>
      <w:suff w:val="nothing"/>
      <w:lvlText w:val="%1%2　"/>
      <w:lvlJc w:val="left"/>
      <w:rPr>
        <w:rFonts w:hint="eastAsia" w:ascii="黑体" w:hAnsi="Times New Roman" w:eastAsia="黑体" w:cs="Times New Roman"/>
        <w:b w:val="0"/>
        <w:i w:val="0"/>
        <w:sz w:val="21"/>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6"/>
  </w:num>
  <w:num w:numId="2">
    <w:abstractNumId w:val="7"/>
  </w:num>
  <w:num w:numId="3">
    <w:abstractNumId w:val="4"/>
  </w:num>
  <w:num w:numId="4">
    <w:abstractNumId w:val="8"/>
  </w:num>
  <w:num w:numId="5">
    <w:abstractNumId w:val="9"/>
  </w:num>
  <w:num w:numId="6">
    <w:abstractNumId w:val="3"/>
  </w:num>
  <w:num w:numId="7">
    <w:abstractNumId w:val="0"/>
  </w:num>
  <w:num w:numId="8">
    <w:abstractNumId w:val="2"/>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xYzFiNWIzZDYxYjhlY2MwMjVlODkwNzRiZTUzOGUifQ=="/>
  </w:docVars>
  <w:rsids>
    <w:rsidRoot w:val="004B4023"/>
    <w:rsid w:val="00000D90"/>
    <w:rsid w:val="00000F0E"/>
    <w:rsid w:val="00001CDF"/>
    <w:rsid w:val="000047A4"/>
    <w:rsid w:val="00006651"/>
    <w:rsid w:val="00007225"/>
    <w:rsid w:val="00007BB7"/>
    <w:rsid w:val="00010DFD"/>
    <w:rsid w:val="0001282C"/>
    <w:rsid w:val="0001478B"/>
    <w:rsid w:val="00016EE9"/>
    <w:rsid w:val="00017999"/>
    <w:rsid w:val="00022BE3"/>
    <w:rsid w:val="0003185C"/>
    <w:rsid w:val="00032BAF"/>
    <w:rsid w:val="00033732"/>
    <w:rsid w:val="00040D72"/>
    <w:rsid w:val="00041440"/>
    <w:rsid w:val="00043E82"/>
    <w:rsid w:val="00044F9B"/>
    <w:rsid w:val="00051180"/>
    <w:rsid w:val="0005143F"/>
    <w:rsid w:val="00052057"/>
    <w:rsid w:val="00055D65"/>
    <w:rsid w:val="00055E24"/>
    <w:rsid w:val="000579CD"/>
    <w:rsid w:val="000608FE"/>
    <w:rsid w:val="000613A4"/>
    <w:rsid w:val="00064120"/>
    <w:rsid w:val="000653AD"/>
    <w:rsid w:val="00065A79"/>
    <w:rsid w:val="00065B72"/>
    <w:rsid w:val="00073761"/>
    <w:rsid w:val="000756DC"/>
    <w:rsid w:val="00076CC4"/>
    <w:rsid w:val="00081D10"/>
    <w:rsid w:val="00087B25"/>
    <w:rsid w:val="00091ABD"/>
    <w:rsid w:val="00092692"/>
    <w:rsid w:val="0009324C"/>
    <w:rsid w:val="00095B4B"/>
    <w:rsid w:val="00095FD2"/>
    <w:rsid w:val="000A1EA3"/>
    <w:rsid w:val="000A52F0"/>
    <w:rsid w:val="000A6D34"/>
    <w:rsid w:val="000A7136"/>
    <w:rsid w:val="000B033A"/>
    <w:rsid w:val="000B4B8A"/>
    <w:rsid w:val="000B5A59"/>
    <w:rsid w:val="000B7CEE"/>
    <w:rsid w:val="000C0DB0"/>
    <w:rsid w:val="000C2A05"/>
    <w:rsid w:val="000C2FF4"/>
    <w:rsid w:val="000C3C05"/>
    <w:rsid w:val="000C4B4C"/>
    <w:rsid w:val="000C4BBF"/>
    <w:rsid w:val="000D1DF9"/>
    <w:rsid w:val="000D20E9"/>
    <w:rsid w:val="000D2760"/>
    <w:rsid w:val="000D7A1F"/>
    <w:rsid w:val="000E3D5D"/>
    <w:rsid w:val="000E4C75"/>
    <w:rsid w:val="000E75AB"/>
    <w:rsid w:val="000F0A01"/>
    <w:rsid w:val="000F0B72"/>
    <w:rsid w:val="000F65BC"/>
    <w:rsid w:val="00102868"/>
    <w:rsid w:val="00110693"/>
    <w:rsid w:val="00115F6E"/>
    <w:rsid w:val="001162D5"/>
    <w:rsid w:val="00116E8F"/>
    <w:rsid w:val="00120A01"/>
    <w:rsid w:val="00122685"/>
    <w:rsid w:val="001249B2"/>
    <w:rsid w:val="00126A8F"/>
    <w:rsid w:val="001273AF"/>
    <w:rsid w:val="00132EA5"/>
    <w:rsid w:val="00136D6A"/>
    <w:rsid w:val="001405A3"/>
    <w:rsid w:val="0014083F"/>
    <w:rsid w:val="001414BC"/>
    <w:rsid w:val="00141B10"/>
    <w:rsid w:val="00142CD6"/>
    <w:rsid w:val="001442BA"/>
    <w:rsid w:val="001464AB"/>
    <w:rsid w:val="0014776E"/>
    <w:rsid w:val="00150BFF"/>
    <w:rsid w:val="00151564"/>
    <w:rsid w:val="00151DDD"/>
    <w:rsid w:val="0015566F"/>
    <w:rsid w:val="001644C8"/>
    <w:rsid w:val="001650AB"/>
    <w:rsid w:val="00165A2A"/>
    <w:rsid w:val="0017040F"/>
    <w:rsid w:val="001725D9"/>
    <w:rsid w:val="0017512E"/>
    <w:rsid w:val="00175FAE"/>
    <w:rsid w:val="001767FB"/>
    <w:rsid w:val="00180FA5"/>
    <w:rsid w:val="00181BA2"/>
    <w:rsid w:val="001831F3"/>
    <w:rsid w:val="00185015"/>
    <w:rsid w:val="0018517E"/>
    <w:rsid w:val="00192B33"/>
    <w:rsid w:val="00195BF7"/>
    <w:rsid w:val="00196F8F"/>
    <w:rsid w:val="001A54F1"/>
    <w:rsid w:val="001A596F"/>
    <w:rsid w:val="001B09C4"/>
    <w:rsid w:val="001B139B"/>
    <w:rsid w:val="001B1C1E"/>
    <w:rsid w:val="001B4FE8"/>
    <w:rsid w:val="001C0FE8"/>
    <w:rsid w:val="001C1F25"/>
    <w:rsid w:val="001C505B"/>
    <w:rsid w:val="001C6C81"/>
    <w:rsid w:val="001C7CA2"/>
    <w:rsid w:val="001D110B"/>
    <w:rsid w:val="001D3609"/>
    <w:rsid w:val="001D4BD8"/>
    <w:rsid w:val="001D5B10"/>
    <w:rsid w:val="001E0749"/>
    <w:rsid w:val="001E4DDD"/>
    <w:rsid w:val="001E65CA"/>
    <w:rsid w:val="001E7222"/>
    <w:rsid w:val="001F0EBB"/>
    <w:rsid w:val="001F1D11"/>
    <w:rsid w:val="001F2157"/>
    <w:rsid w:val="001F263A"/>
    <w:rsid w:val="001F3C31"/>
    <w:rsid w:val="001F7038"/>
    <w:rsid w:val="002036E4"/>
    <w:rsid w:val="00204C9A"/>
    <w:rsid w:val="00207BC6"/>
    <w:rsid w:val="00207C7B"/>
    <w:rsid w:val="002114E1"/>
    <w:rsid w:val="002129FF"/>
    <w:rsid w:val="0021599D"/>
    <w:rsid w:val="00217C48"/>
    <w:rsid w:val="00217EB3"/>
    <w:rsid w:val="002243B1"/>
    <w:rsid w:val="00225388"/>
    <w:rsid w:val="0022692F"/>
    <w:rsid w:val="00240C0D"/>
    <w:rsid w:val="00244BB4"/>
    <w:rsid w:val="00245727"/>
    <w:rsid w:val="00246083"/>
    <w:rsid w:val="00250288"/>
    <w:rsid w:val="002508DB"/>
    <w:rsid w:val="00252329"/>
    <w:rsid w:val="0025332D"/>
    <w:rsid w:val="00254853"/>
    <w:rsid w:val="00255457"/>
    <w:rsid w:val="00260A91"/>
    <w:rsid w:val="00261EA1"/>
    <w:rsid w:val="00265F24"/>
    <w:rsid w:val="00267F7E"/>
    <w:rsid w:val="002708B6"/>
    <w:rsid w:val="00275512"/>
    <w:rsid w:val="002767C7"/>
    <w:rsid w:val="00277115"/>
    <w:rsid w:val="00277BFF"/>
    <w:rsid w:val="002802CC"/>
    <w:rsid w:val="00281987"/>
    <w:rsid w:val="00281BEE"/>
    <w:rsid w:val="00284B3B"/>
    <w:rsid w:val="0028637C"/>
    <w:rsid w:val="0029646F"/>
    <w:rsid w:val="002A0164"/>
    <w:rsid w:val="002A0D9E"/>
    <w:rsid w:val="002A1A02"/>
    <w:rsid w:val="002A1AF3"/>
    <w:rsid w:val="002A2053"/>
    <w:rsid w:val="002A2524"/>
    <w:rsid w:val="002A53E4"/>
    <w:rsid w:val="002A6C93"/>
    <w:rsid w:val="002A7F4C"/>
    <w:rsid w:val="002B0FA5"/>
    <w:rsid w:val="002B642A"/>
    <w:rsid w:val="002C216A"/>
    <w:rsid w:val="002C3526"/>
    <w:rsid w:val="002C3CBD"/>
    <w:rsid w:val="002C6966"/>
    <w:rsid w:val="002C7405"/>
    <w:rsid w:val="002D0FC2"/>
    <w:rsid w:val="002D1EA7"/>
    <w:rsid w:val="002D2CE3"/>
    <w:rsid w:val="002D4A4C"/>
    <w:rsid w:val="002D4D44"/>
    <w:rsid w:val="002D5125"/>
    <w:rsid w:val="002E1E40"/>
    <w:rsid w:val="002E39A2"/>
    <w:rsid w:val="002F110D"/>
    <w:rsid w:val="002F1FCB"/>
    <w:rsid w:val="002F236E"/>
    <w:rsid w:val="002F2650"/>
    <w:rsid w:val="002F3127"/>
    <w:rsid w:val="002F3C2C"/>
    <w:rsid w:val="002F4914"/>
    <w:rsid w:val="002F609C"/>
    <w:rsid w:val="0030368C"/>
    <w:rsid w:val="003040F7"/>
    <w:rsid w:val="00304612"/>
    <w:rsid w:val="00305AC0"/>
    <w:rsid w:val="003070FC"/>
    <w:rsid w:val="00311E1C"/>
    <w:rsid w:val="00312B72"/>
    <w:rsid w:val="0031454C"/>
    <w:rsid w:val="003155F8"/>
    <w:rsid w:val="00317E3A"/>
    <w:rsid w:val="00322218"/>
    <w:rsid w:val="00324238"/>
    <w:rsid w:val="00325D41"/>
    <w:rsid w:val="00326668"/>
    <w:rsid w:val="00330B01"/>
    <w:rsid w:val="00333DCF"/>
    <w:rsid w:val="00337BE7"/>
    <w:rsid w:val="003406AB"/>
    <w:rsid w:val="00342DF1"/>
    <w:rsid w:val="00342FB6"/>
    <w:rsid w:val="003433C6"/>
    <w:rsid w:val="003456DA"/>
    <w:rsid w:val="003457EB"/>
    <w:rsid w:val="00352835"/>
    <w:rsid w:val="00353C7E"/>
    <w:rsid w:val="0035473B"/>
    <w:rsid w:val="00363D50"/>
    <w:rsid w:val="003664AC"/>
    <w:rsid w:val="00370BA9"/>
    <w:rsid w:val="0037118D"/>
    <w:rsid w:val="003730E0"/>
    <w:rsid w:val="00374E66"/>
    <w:rsid w:val="0037633F"/>
    <w:rsid w:val="00380521"/>
    <w:rsid w:val="00380BFE"/>
    <w:rsid w:val="003826B1"/>
    <w:rsid w:val="00382F10"/>
    <w:rsid w:val="0038486B"/>
    <w:rsid w:val="0039138A"/>
    <w:rsid w:val="003914C2"/>
    <w:rsid w:val="00393E39"/>
    <w:rsid w:val="003956FF"/>
    <w:rsid w:val="00396B0C"/>
    <w:rsid w:val="00397291"/>
    <w:rsid w:val="003A0F21"/>
    <w:rsid w:val="003A724F"/>
    <w:rsid w:val="003B38EE"/>
    <w:rsid w:val="003B46BB"/>
    <w:rsid w:val="003B5402"/>
    <w:rsid w:val="003B6FEF"/>
    <w:rsid w:val="003C34EC"/>
    <w:rsid w:val="003C3E92"/>
    <w:rsid w:val="003C5A48"/>
    <w:rsid w:val="003C6B16"/>
    <w:rsid w:val="003D3573"/>
    <w:rsid w:val="003D3ECD"/>
    <w:rsid w:val="003D4130"/>
    <w:rsid w:val="003E1ED2"/>
    <w:rsid w:val="003E24C1"/>
    <w:rsid w:val="003E3A3E"/>
    <w:rsid w:val="003E5946"/>
    <w:rsid w:val="003E69F7"/>
    <w:rsid w:val="003E6A3C"/>
    <w:rsid w:val="003E7C85"/>
    <w:rsid w:val="003F035E"/>
    <w:rsid w:val="003F0ECA"/>
    <w:rsid w:val="003F4548"/>
    <w:rsid w:val="004033F3"/>
    <w:rsid w:val="0040342B"/>
    <w:rsid w:val="00404178"/>
    <w:rsid w:val="00405E4A"/>
    <w:rsid w:val="00406EAD"/>
    <w:rsid w:val="0041068D"/>
    <w:rsid w:val="004133D9"/>
    <w:rsid w:val="004202B1"/>
    <w:rsid w:val="00420A7E"/>
    <w:rsid w:val="0042586E"/>
    <w:rsid w:val="004275C9"/>
    <w:rsid w:val="00427A1A"/>
    <w:rsid w:val="0043012C"/>
    <w:rsid w:val="004304EA"/>
    <w:rsid w:val="004342CA"/>
    <w:rsid w:val="0043770D"/>
    <w:rsid w:val="00445C7A"/>
    <w:rsid w:val="00446255"/>
    <w:rsid w:val="004467D7"/>
    <w:rsid w:val="0044753A"/>
    <w:rsid w:val="0045040C"/>
    <w:rsid w:val="00452E45"/>
    <w:rsid w:val="00457D14"/>
    <w:rsid w:val="0046078D"/>
    <w:rsid w:val="00460A0F"/>
    <w:rsid w:val="004623CC"/>
    <w:rsid w:val="00464B47"/>
    <w:rsid w:val="00464E54"/>
    <w:rsid w:val="00467E51"/>
    <w:rsid w:val="004709BF"/>
    <w:rsid w:val="00472F8B"/>
    <w:rsid w:val="0047567C"/>
    <w:rsid w:val="00476237"/>
    <w:rsid w:val="00477FF3"/>
    <w:rsid w:val="00480B31"/>
    <w:rsid w:val="00491BFD"/>
    <w:rsid w:val="00495638"/>
    <w:rsid w:val="004A0214"/>
    <w:rsid w:val="004A6F6D"/>
    <w:rsid w:val="004B29A6"/>
    <w:rsid w:val="004B4023"/>
    <w:rsid w:val="004B6D28"/>
    <w:rsid w:val="004B736F"/>
    <w:rsid w:val="004C0544"/>
    <w:rsid w:val="004C5704"/>
    <w:rsid w:val="004C66B0"/>
    <w:rsid w:val="004C68A6"/>
    <w:rsid w:val="004C6D1E"/>
    <w:rsid w:val="004D2B02"/>
    <w:rsid w:val="004D3DCE"/>
    <w:rsid w:val="004D7F07"/>
    <w:rsid w:val="004E2738"/>
    <w:rsid w:val="004E2C30"/>
    <w:rsid w:val="004E2F09"/>
    <w:rsid w:val="004E5CF9"/>
    <w:rsid w:val="004E7604"/>
    <w:rsid w:val="004F06A2"/>
    <w:rsid w:val="004F472E"/>
    <w:rsid w:val="004F7E00"/>
    <w:rsid w:val="00501071"/>
    <w:rsid w:val="00506A4C"/>
    <w:rsid w:val="005074B8"/>
    <w:rsid w:val="005076BF"/>
    <w:rsid w:val="005131F1"/>
    <w:rsid w:val="00513C06"/>
    <w:rsid w:val="00514267"/>
    <w:rsid w:val="005147AF"/>
    <w:rsid w:val="00516713"/>
    <w:rsid w:val="0052089C"/>
    <w:rsid w:val="00522ABF"/>
    <w:rsid w:val="00527199"/>
    <w:rsid w:val="005276E5"/>
    <w:rsid w:val="00530A9F"/>
    <w:rsid w:val="00530AD4"/>
    <w:rsid w:val="00531BA1"/>
    <w:rsid w:val="00537604"/>
    <w:rsid w:val="00553361"/>
    <w:rsid w:val="00555215"/>
    <w:rsid w:val="005567A9"/>
    <w:rsid w:val="00560018"/>
    <w:rsid w:val="00560161"/>
    <w:rsid w:val="005625B4"/>
    <w:rsid w:val="005714B9"/>
    <w:rsid w:val="00571D8E"/>
    <w:rsid w:val="00572176"/>
    <w:rsid w:val="005758B9"/>
    <w:rsid w:val="00575F24"/>
    <w:rsid w:val="00576C98"/>
    <w:rsid w:val="00581938"/>
    <w:rsid w:val="00582966"/>
    <w:rsid w:val="00584149"/>
    <w:rsid w:val="005907F9"/>
    <w:rsid w:val="0059718D"/>
    <w:rsid w:val="005A3358"/>
    <w:rsid w:val="005A768F"/>
    <w:rsid w:val="005B0399"/>
    <w:rsid w:val="005B040F"/>
    <w:rsid w:val="005B6873"/>
    <w:rsid w:val="005B7E85"/>
    <w:rsid w:val="005C0261"/>
    <w:rsid w:val="005C39EF"/>
    <w:rsid w:val="005C47C5"/>
    <w:rsid w:val="005D2EDA"/>
    <w:rsid w:val="005D365B"/>
    <w:rsid w:val="005E1AD8"/>
    <w:rsid w:val="005E24C7"/>
    <w:rsid w:val="005E4E81"/>
    <w:rsid w:val="005F1A98"/>
    <w:rsid w:val="005F2FD4"/>
    <w:rsid w:val="005F4B8E"/>
    <w:rsid w:val="006008DA"/>
    <w:rsid w:val="00601856"/>
    <w:rsid w:val="006030DD"/>
    <w:rsid w:val="0060444C"/>
    <w:rsid w:val="00611AF8"/>
    <w:rsid w:val="00616334"/>
    <w:rsid w:val="006171DC"/>
    <w:rsid w:val="00621D9D"/>
    <w:rsid w:val="00623B87"/>
    <w:rsid w:val="00623D96"/>
    <w:rsid w:val="00623F26"/>
    <w:rsid w:val="006256D4"/>
    <w:rsid w:val="0063565A"/>
    <w:rsid w:val="00635702"/>
    <w:rsid w:val="00637325"/>
    <w:rsid w:val="00645190"/>
    <w:rsid w:val="006470D7"/>
    <w:rsid w:val="006507C2"/>
    <w:rsid w:val="00654793"/>
    <w:rsid w:val="00654B6A"/>
    <w:rsid w:val="00656352"/>
    <w:rsid w:val="00656DF9"/>
    <w:rsid w:val="00657164"/>
    <w:rsid w:val="00661BDE"/>
    <w:rsid w:val="00661E55"/>
    <w:rsid w:val="00663C9C"/>
    <w:rsid w:val="006648E2"/>
    <w:rsid w:val="006671B9"/>
    <w:rsid w:val="006679F7"/>
    <w:rsid w:val="00670C88"/>
    <w:rsid w:val="00670D93"/>
    <w:rsid w:val="00670FAD"/>
    <w:rsid w:val="00671253"/>
    <w:rsid w:val="0067256A"/>
    <w:rsid w:val="00676FE9"/>
    <w:rsid w:val="006817FE"/>
    <w:rsid w:val="00682793"/>
    <w:rsid w:val="00684905"/>
    <w:rsid w:val="0068595B"/>
    <w:rsid w:val="00686EB2"/>
    <w:rsid w:val="0069037D"/>
    <w:rsid w:val="00692E8F"/>
    <w:rsid w:val="00693306"/>
    <w:rsid w:val="00695340"/>
    <w:rsid w:val="00696339"/>
    <w:rsid w:val="00696934"/>
    <w:rsid w:val="006971B0"/>
    <w:rsid w:val="00697C8B"/>
    <w:rsid w:val="00697DCC"/>
    <w:rsid w:val="00697EB9"/>
    <w:rsid w:val="006A4551"/>
    <w:rsid w:val="006A4831"/>
    <w:rsid w:val="006A4FCC"/>
    <w:rsid w:val="006B2046"/>
    <w:rsid w:val="006B231F"/>
    <w:rsid w:val="006B2D71"/>
    <w:rsid w:val="006C0AA3"/>
    <w:rsid w:val="006C4F29"/>
    <w:rsid w:val="006C6243"/>
    <w:rsid w:val="006D2E2E"/>
    <w:rsid w:val="006D3F1B"/>
    <w:rsid w:val="006E0A3A"/>
    <w:rsid w:val="006E2C6A"/>
    <w:rsid w:val="006E4B03"/>
    <w:rsid w:val="006E6C23"/>
    <w:rsid w:val="006F2ED2"/>
    <w:rsid w:val="006F4E18"/>
    <w:rsid w:val="006F572A"/>
    <w:rsid w:val="006F7E8C"/>
    <w:rsid w:val="00705D4C"/>
    <w:rsid w:val="00706928"/>
    <w:rsid w:val="00707C10"/>
    <w:rsid w:val="00710BF3"/>
    <w:rsid w:val="0071601E"/>
    <w:rsid w:val="00717007"/>
    <w:rsid w:val="00721290"/>
    <w:rsid w:val="00722C5C"/>
    <w:rsid w:val="00724DDD"/>
    <w:rsid w:val="0072584C"/>
    <w:rsid w:val="00726952"/>
    <w:rsid w:val="007272E2"/>
    <w:rsid w:val="00727D73"/>
    <w:rsid w:val="00731279"/>
    <w:rsid w:val="00733D9D"/>
    <w:rsid w:val="007355C5"/>
    <w:rsid w:val="00742CC8"/>
    <w:rsid w:val="00743322"/>
    <w:rsid w:val="00743A5C"/>
    <w:rsid w:val="00750CB0"/>
    <w:rsid w:val="00753B5D"/>
    <w:rsid w:val="007605AD"/>
    <w:rsid w:val="00760D5E"/>
    <w:rsid w:val="0077095C"/>
    <w:rsid w:val="00770B75"/>
    <w:rsid w:val="007734C9"/>
    <w:rsid w:val="00775F3C"/>
    <w:rsid w:val="00777322"/>
    <w:rsid w:val="007812B2"/>
    <w:rsid w:val="00781C4F"/>
    <w:rsid w:val="00790873"/>
    <w:rsid w:val="00790C0C"/>
    <w:rsid w:val="00793CDF"/>
    <w:rsid w:val="00794210"/>
    <w:rsid w:val="00794B9B"/>
    <w:rsid w:val="0079562D"/>
    <w:rsid w:val="0079588A"/>
    <w:rsid w:val="00795C23"/>
    <w:rsid w:val="0079694F"/>
    <w:rsid w:val="0079700F"/>
    <w:rsid w:val="00797A8D"/>
    <w:rsid w:val="007B04C8"/>
    <w:rsid w:val="007B143B"/>
    <w:rsid w:val="007B270F"/>
    <w:rsid w:val="007C0C2A"/>
    <w:rsid w:val="007C170F"/>
    <w:rsid w:val="007C68A9"/>
    <w:rsid w:val="007C774B"/>
    <w:rsid w:val="007C7F4A"/>
    <w:rsid w:val="007D072E"/>
    <w:rsid w:val="007D432C"/>
    <w:rsid w:val="007D63FF"/>
    <w:rsid w:val="007D7378"/>
    <w:rsid w:val="007E62B5"/>
    <w:rsid w:val="007F0BC9"/>
    <w:rsid w:val="007F30EB"/>
    <w:rsid w:val="007F640F"/>
    <w:rsid w:val="00800313"/>
    <w:rsid w:val="00800C98"/>
    <w:rsid w:val="00801DAE"/>
    <w:rsid w:val="00804D96"/>
    <w:rsid w:val="00806921"/>
    <w:rsid w:val="008153C0"/>
    <w:rsid w:val="00815DE1"/>
    <w:rsid w:val="008200DD"/>
    <w:rsid w:val="00827B06"/>
    <w:rsid w:val="00827DAD"/>
    <w:rsid w:val="00830BDF"/>
    <w:rsid w:val="00840D63"/>
    <w:rsid w:val="00842B10"/>
    <w:rsid w:val="00843B19"/>
    <w:rsid w:val="00851448"/>
    <w:rsid w:val="008555A2"/>
    <w:rsid w:val="008566AB"/>
    <w:rsid w:val="008627AE"/>
    <w:rsid w:val="00865929"/>
    <w:rsid w:val="008659D5"/>
    <w:rsid w:val="00874749"/>
    <w:rsid w:val="00874D7A"/>
    <w:rsid w:val="00876B8D"/>
    <w:rsid w:val="00876C0C"/>
    <w:rsid w:val="00886249"/>
    <w:rsid w:val="00892113"/>
    <w:rsid w:val="00893908"/>
    <w:rsid w:val="00897E8B"/>
    <w:rsid w:val="008A3138"/>
    <w:rsid w:val="008A4F96"/>
    <w:rsid w:val="008B25A5"/>
    <w:rsid w:val="008B37C7"/>
    <w:rsid w:val="008B71D4"/>
    <w:rsid w:val="008B769F"/>
    <w:rsid w:val="008C0782"/>
    <w:rsid w:val="008C3B7D"/>
    <w:rsid w:val="008C5012"/>
    <w:rsid w:val="008C5B15"/>
    <w:rsid w:val="008D2F36"/>
    <w:rsid w:val="008D5B10"/>
    <w:rsid w:val="008D6DBE"/>
    <w:rsid w:val="008E0C1D"/>
    <w:rsid w:val="008E242C"/>
    <w:rsid w:val="008E4F55"/>
    <w:rsid w:val="008E5986"/>
    <w:rsid w:val="008E71D3"/>
    <w:rsid w:val="008F092E"/>
    <w:rsid w:val="008F16A4"/>
    <w:rsid w:val="008F1C6D"/>
    <w:rsid w:val="008F35A3"/>
    <w:rsid w:val="008F3C5A"/>
    <w:rsid w:val="0090125C"/>
    <w:rsid w:val="00905015"/>
    <w:rsid w:val="009054F2"/>
    <w:rsid w:val="00905981"/>
    <w:rsid w:val="00910716"/>
    <w:rsid w:val="00910D8C"/>
    <w:rsid w:val="0091172B"/>
    <w:rsid w:val="00913ED5"/>
    <w:rsid w:val="00917B7A"/>
    <w:rsid w:val="00920B7A"/>
    <w:rsid w:val="00923C8A"/>
    <w:rsid w:val="00923EDD"/>
    <w:rsid w:val="009246FE"/>
    <w:rsid w:val="00924763"/>
    <w:rsid w:val="00930510"/>
    <w:rsid w:val="00930BE2"/>
    <w:rsid w:val="00931514"/>
    <w:rsid w:val="0093254C"/>
    <w:rsid w:val="00932F51"/>
    <w:rsid w:val="00944B3B"/>
    <w:rsid w:val="0095014D"/>
    <w:rsid w:val="00951486"/>
    <w:rsid w:val="00952C29"/>
    <w:rsid w:val="00955515"/>
    <w:rsid w:val="00956561"/>
    <w:rsid w:val="0095662D"/>
    <w:rsid w:val="00956649"/>
    <w:rsid w:val="009602CD"/>
    <w:rsid w:val="00963862"/>
    <w:rsid w:val="00963983"/>
    <w:rsid w:val="00965F83"/>
    <w:rsid w:val="009668A3"/>
    <w:rsid w:val="00967222"/>
    <w:rsid w:val="009703C3"/>
    <w:rsid w:val="009721C8"/>
    <w:rsid w:val="009738E3"/>
    <w:rsid w:val="009744AC"/>
    <w:rsid w:val="0097485E"/>
    <w:rsid w:val="009766F0"/>
    <w:rsid w:val="0097690A"/>
    <w:rsid w:val="00981890"/>
    <w:rsid w:val="00982DA9"/>
    <w:rsid w:val="00984DDB"/>
    <w:rsid w:val="00986141"/>
    <w:rsid w:val="009878C1"/>
    <w:rsid w:val="00991EA3"/>
    <w:rsid w:val="00997D7A"/>
    <w:rsid w:val="009B1921"/>
    <w:rsid w:val="009B22A5"/>
    <w:rsid w:val="009B3BD9"/>
    <w:rsid w:val="009B5F9C"/>
    <w:rsid w:val="009B78BE"/>
    <w:rsid w:val="009C0F7D"/>
    <w:rsid w:val="009C2A8F"/>
    <w:rsid w:val="009C44DF"/>
    <w:rsid w:val="009D7513"/>
    <w:rsid w:val="009E0BED"/>
    <w:rsid w:val="009E1777"/>
    <w:rsid w:val="009E31A9"/>
    <w:rsid w:val="009E4A09"/>
    <w:rsid w:val="009E7DF6"/>
    <w:rsid w:val="009F262C"/>
    <w:rsid w:val="009F7D29"/>
    <w:rsid w:val="00A018B0"/>
    <w:rsid w:val="00A03530"/>
    <w:rsid w:val="00A045B8"/>
    <w:rsid w:val="00A07160"/>
    <w:rsid w:val="00A07CE6"/>
    <w:rsid w:val="00A10E3B"/>
    <w:rsid w:val="00A1169E"/>
    <w:rsid w:val="00A11C1F"/>
    <w:rsid w:val="00A156C3"/>
    <w:rsid w:val="00A15AC4"/>
    <w:rsid w:val="00A216B7"/>
    <w:rsid w:val="00A22FAD"/>
    <w:rsid w:val="00A2760A"/>
    <w:rsid w:val="00A30916"/>
    <w:rsid w:val="00A322BA"/>
    <w:rsid w:val="00A33320"/>
    <w:rsid w:val="00A33A60"/>
    <w:rsid w:val="00A35462"/>
    <w:rsid w:val="00A356E6"/>
    <w:rsid w:val="00A407F3"/>
    <w:rsid w:val="00A430A8"/>
    <w:rsid w:val="00A44DC4"/>
    <w:rsid w:val="00A50705"/>
    <w:rsid w:val="00A52EAD"/>
    <w:rsid w:val="00A553E9"/>
    <w:rsid w:val="00A56F33"/>
    <w:rsid w:val="00A60EEA"/>
    <w:rsid w:val="00A62A88"/>
    <w:rsid w:val="00A634DA"/>
    <w:rsid w:val="00A64FC6"/>
    <w:rsid w:val="00A64FCE"/>
    <w:rsid w:val="00A65612"/>
    <w:rsid w:val="00A6663B"/>
    <w:rsid w:val="00A720DC"/>
    <w:rsid w:val="00A73374"/>
    <w:rsid w:val="00A73BB0"/>
    <w:rsid w:val="00A815F3"/>
    <w:rsid w:val="00A81630"/>
    <w:rsid w:val="00A81E71"/>
    <w:rsid w:val="00A83274"/>
    <w:rsid w:val="00A84ECA"/>
    <w:rsid w:val="00A87BE6"/>
    <w:rsid w:val="00A918AC"/>
    <w:rsid w:val="00A9266C"/>
    <w:rsid w:val="00A94D65"/>
    <w:rsid w:val="00A950A5"/>
    <w:rsid w:val="00A952E2"/>
    <w:rsid w:val="00A97828"/>
    <w:rsid w:val="00AA3241"/>
    <w:rsid w:val="00AA3C17"/>
    <w:rsid w:val="00AA54F6"/>
    <w:rsid w:val="00AA7784"/>
    <w:rsid w:val="00AB0D21"/>
    <w:rsid w:val="00AB2664"/>
    <w:rsid w:val="00AB3C80"/>
    <w:rsid w:val="00AB40B4"/>
    <w:rsid w:val="00AB51CC"/>
    <w:rsid w:val="00AB5BC4"/>
    <w:rsid w:val="00AB6EAE"/>
    <w:rsid w:val="00AB785A"/>
    <w:rsid w:val="00AC6B36"/>
    <w:rsid w:val="00AC71E5"/>
    <w:rsid w:val="00AD1AB6"/>
    <w:rsid w:val="00AD4808"/>
    <w:rsid w:val="00AD7519"/>
    <w:rsid w:val="00AE10F6"/>
    <w:rsid w:val="00AE1E19"/>
    <w:rsid w:val="00AE5A10"/>
    <w:rsid w:val="00AF0D48"/>
    <w:rsid w:val="00AF118C"/>
    <w:rsid w:val="00AF1F1D"/>
    <w:rsid w:val="00AF24CD"/>
    <w:rsid w:val="00AF3FE5"/>
    <w:rsid w:val="00B013F7"/>
    <w:rsid w:val="00B01F87"/>
    <w:rsid w:val="00B0367D"/>
    <w:rsid w:val="00B03A77"/>
    <w:rsid w:val="00B16D97"/>
    <w:rsid w:val="00B16EDF"/>
    <w:rsid w:val="00B17E08"/>
    <w:rsid w:val="00B23298"/>
    <w:rsid w:val="00B23EA0"/>
    <w:rsid w:val="00B24D65"/>
    <w:rsid w:val="00B26A8A"/>
    <w:rsid w:val="00B27C2E"/>
    <w:rsid w:val="00B321B0"/>
    <w:rsid w:val="00B346A1"/>
    <w:rsid w:val="00B34D0B"/>
    <w:rsid w:val="00B42ECB"/>
    <w:rsid w:val="00B506B9"/>
    <w:rsid w:val="00B556F0"/>
    <w:rsid w:val="00B57B13"/>
    <w:rsid w:val="00B61256"/>
    <w:rsid w:val="00B61733"/>
    <w:rsid w:val="00B61D36"/>
    <w:rsid w:val="00B6417E"/>
    <w:rsid w:val="00B64CAB"/>
    <w:rsid w:val="00B66C73"/>
    <w:rsid w:val="00B67EE7"/>
    <w:rsid w:val="00B70857"/>
    <w:rsid w:val="00B7332B"/>
    <w:rsid w:val="00B73A8A"/>
    <w:rsid w:val="00B765F9"/>
    <w:rsid w:val="00B86BA1"/>
    <w:rsid w:val="00B87D31"/>
    <w:rsid w:val="00B92EBF"/>
    <w:rsid w:val="00B9674E"/>
    <w:rsid w:val="00B976CD"/>
    <w:rsid w:val="00BA0ECF"/>
    <w:rsid w:val="00BA39B6"/>
    <w:rsid w:val="00BA55B4"/>
    <w:rsid w:val="00BA69F9"/>
    <w:rsid w:val="00BB0D8D"/>
    <w:rsid w:val="00BB27F2"/>
    <w:rsid w:val="00BB2B20"/>
    <w:rsid w:val="00BB3218"/>
    <w:rsid w:val="00BB49CE"/>
    <w:rsid w:val="00BB5048"/>
    <w:rsid w:val="00BB5EF9"/>
    <w:rsid w:val="00BC0310"/>
    <w:rsid w:val="00BC097A"/>
    <w:rsid w:val="00BC2633"/>
    <w:rsid w:val="00BC3569"/>
    <w:rsid w:val="00BC50A3"/>
    <w:rsid w:val="00BC661F"/>
    <w:rsid w:val="00BD086C"/>
    <w:rsid w:val="00BD1BD7"/>
    <w:rsid w:val="00BD2736"/>
    <w:rsid w:val="00BD716C"/>
    <w:rsid w:val="00BE04BB"/>
    <w:rsid w:val="00BE07B5"/>
    <w:rsid w:val="00BE342F"/>
    <w:rsid w:val="00BE466D"/>
    <w:rsid w:val="00BE57FF"/>
    <w:rsid w:val="00BF2B32"/>
    <w:rsid w:val="00BF359C"/>
    <w:rsid w:val="00BF3AFA"/>
    <w:rsid w:val="00BF3DAC"/>
    <w:rsid w:val="00BF4789"/>
    <w:rsid w:val="00BF4AA2"/>
    <w:rsid w:val="00BF6DF6"/>
    <w:rsid w:val="00C00B03"/>
    <w:rsid w:val="00C03FCE"/>
    <w:rsid w:val="00C04AB8"/>
    <w:rsid w:val="00C11DD0"/>
    <w:rsid w:val="00C12DE3"/>
    <w:rsid w:val="00C165BC"/>
    <w:rsid w:val="00C16BA5"/>
    <w:rsid w:val="00C20A7A"/>
    <w:rsid w:val="00C20D4E"/>
    <w:rsid w:val="00C2314A"/>
    <w:rsid w:val="00C24FD1"/>
    <w:rsid w:val="00C2613D"/>
    <w:rsid w:val="00C31A89"/>
    <w:rsid w:val="00C32B55"/>
    <w:rsid w:val="00C34430"/>
    <w:rsid w:val="00C37756"/>
    <w:rsid w:val="00C46B57"/>
    <w:rsid w:val="00C46BDB"/>
    <w:rsid w:val="00C4760B"/>
    <w:rsid w:val="00C5226B"/>
    <w:rsid w:val="00C5467B"/>
    <w:rsid w:val="00C551B8"/>
    <w:rsid w:val="00C55FF7"/>
    <w:rsid w:val="00C56344"/>
    <w:rsid w:val="00C64C75"/>
    <w:rsid w:val="00C65672"/>
    <w:rsid w:val="00C677D1"/>
    <w:rsid w:val="00C700A9"/>
    <w:rsid w:val="00C70424"/>
    <w:rsid w:val="00C7235F"/>
    <w:rsid w:val="00C73727"/>
    <w:rsid w:val="00C76335"/>
    <w:rsid w:val="00C816A7"/>
    <w:rsid w:val="00C8365C"/>
    <w:rsid w:val="00C83C60"/>
    <w:rsid w:val="00C879F1"/>
    <w:rsid w:val="00C935F1"/>
    <w:rsid w:val="00C943FC"/>
    <w:rsid w:val="00C9519A"/>
    <w:rsid w:val="00C97D3F"/>
    <w:rsid w:val="00CA2751"/>
    <w:rsid w:val="00CA2A98"/>
    <w:rsid w:val="00CA7D7D"/>
    <w:rsid w:val="00CA7F1D"/>
    <w:rsid w:val="00CB0A4F"/>
    <w:rsid w:val="00CB20CE"/>
    <w:rsid w:val="00CB39C1"/>
    <w:rsid w:val="00CB5144"/>
    <w:rsid w:val="00CC0D75"/>
    <w:rsid w:val="00CC1964"/>
    <w:rsid w:val="00CC457A"/>
    <w:rsid w:val="00CC4CE8"/>
    <w:rsid w:val="00CC79FC"/>
    <w:rsid w:val="00CC7EBC"/>
    <w:rsid w:val="00CD02DB"/>
    <w:rsid w:val="00CD052B"/>
    <w:rsid w:val="00CD281F"/>
    <w:rsid w:val="00CD42E0"/>
    <w:rsid w:val="00CE354C"/>
    <w:rsid w:val="00CF6A94"/>
    <w:rsid w:val="00D02CB2"/>
    <w:rsid w:val="00D0367A"/>
    <w:rsid w:val="00D054A8"/>
    <w:rsid w:val="00D06502"/>
    <w:rsid w:val="00D16C87"/>
    <w:rsid w:val="00D22054"/>
    <w:rsid w:val="00D22FC6"/>
    <w:rsid w:val="00D257CD"/>
    <w:rsid w:val="00D26136"/>
    <w:rsid w:val="00D26BAF"/>
    <w:rsid w:val="00D276F3"/>
    <w:rsid w:val="00D27E24"/>
    <w:rsid w:val="00D34C9F"/>
    <w:rsid w:val="00D40CB6"/>
    <w:rsid w:val="00D41C34"/>
    <w:rsid w:val="00D449A6"/>
    <w:rsid w:val="00D4561E"/>
    <w:rsid w:val="00D47DF8"/>
    <w:rsid w:val="00D523DC"/>
    <w:rsid w:val="00D53467"/>
    <w:rsid w:val="00D56B2C"/>
    <w:rsid w:val="00D57B0D"/>
    <w:rsid w:val="00D60EEE"/>
    <w:rsid w:val="00D61487"/>
    <w:rsid w:val="00D61C60"/>
    <w:rsid w:val="00D640FB"/>
    <w:rsid w:val="00D64B11"/>
    <w:rsid w:val="00D65118"/>
    <w:rsid w:val="00D6611A"/>
    <w:rsid w:val="00D73D1A"/>
    <w:rsid w:val="00D73E32"/>
    <w:rsid w:val="00D778D9"/>
    <w:rsid w:val="00D77CB1"/>
    <w:rsid w:val="00D8014E"/>
    <w:rsid w:val="00D80FBA"/>
    <w:rsid w:val="00D840C0"/>
    <w:rsid w:val="00D85EDC"/>
    <w:rsid w:val="00D87419"/>
    <w:rsid w:val="00D90310"/>
    <w:rsid w:val="00D93516"/>
    <w:rsid w:val="00D937C9"/>
    <w:rsid w:val="00D94FA5"/>
    <w:rsid w:val="00D95659"/>
    <w:rsid w:val="00D95976"/>
    <w:rsid w:val="00D95CCB"/>
    <w:rsid w:val="00D97502"/>
    <w:rsid w:val="00DA12B4"/>
    <w:rsid w:val="00DA13EA"/>
    <w:rsid w:val="00DA28CC"/>
    <w:rsid w:val="00DA40AB"/>
    <w:rsid w:val="00DA6297"/>
    <w:rsid w:val="00DA7C14"/>
    <w:rsid w:val="00DB4AD0"/>
    <w:rsid w:val="00DB5E79"/>
    <w:rsid w:val="00DB673E"/>
    <w:rsid w:val="00DB731F"/>
    <w:rsid w:val="00DB79A5"/>
    <w:rsid w:val="00DC1E52"/>
    <w:rsid w:val="00DC3DA8"/>
    <w:rsid w:val="00DC407F"/>
    <w:rsid w:val="00DC5895"/>
    <w:rsid w:val="00DC6E52"/>
    <w:rsid w:val="00DC7754"/>
    <w:rsid w:val="00DD25E4"/>
    <w:rsid w:val="00DE0C81"/>
    <w:rsid w:val="00DE2D9C"/>
    <w:rsid w:val="00DE3D8A"/>
    <w:rsid w:val="00DE69B1"/>
    <w:rsid w:val="00DE6EB3"/>
    <w:rsid w:val="00DE7636"/>
    <w:rsid w:val="00DE7A1E"/>
    <w:rsid w:val="00DF21B5"/>
    <w:rsid w:val="00DF43FF"/>
    <w:rsid w:val="00DF5818"/>
    <w:rsid w:val="00E02577"/>
    <w:rsid w:val="00E034EA"/>
    <w:rsid w:val="00E048EC"/>
    <w:rsid w:val="00E06847"/>
    <w:rsid w:val="00E1061D"/>
    <w:rsid w:val="00E12B0E"/>
    <w:rsid w:val="00E166F9"/>
    <w:rsid w:val="00E212F2"/>
    <w:rsid w:val="00E23051"/>
    <w:rsid w:val="00E24AD0"/>
    <w:rsid w:val="00E254AB"/>
    <w:rsid w:val="00E265F8"/>
    <w:rsid w:val="00E27233"/>
    <w:rsid w:val="00E300B3"/>
    <w:rsid w:val="00E30EDA"/>
    <w:rsid w:val="00E346EA"/>
    <w:rsid w:val="00E43C6F"/>
    <w:rsid w:val="00E471AD"/>
    <w:rsid w:val="00E532D3"/>
    <w:rsid w:val="00E57127"/>
    <w:rsid w:val="00E6162D"/>
    <w:rsid w:val="00E65CE9"/>
    <w:rsid w:val="00E66C6B"/>
    <w:rsid w:val="00E717B6"/>
    <w:rsid w:val="00E751F9"/>
    <w:rsid w:val="00E82B64"/>
    <w:rsid w:val="00E86137"/>
    <w:rsid w:val="00E864E1"/>
    <w:rsid w:val="00E86FAE"/>
    <w:rsid w:val="00E874AF"/>
    <w:rsid w:val="00E87778"/>
    <w:rsid w:val="00E91CE5"/>
    <w:rsid w:val="00E934F1"/>
    <w:rsid w:val="00E94053"/>
    <w:rsid w:val="00EA0994"/>
    <w:rsid w:val="00EA18CD"/>
    <w:rsid w:val="00EA41B4"/>
    <w:rsid w:val="00EA49B7"/>
    <w:rsid w:val="00EB008D"/>
    <w:rsid w:val="00EB3345"/>
    <w:rsid w:val="00EB77F2"/>
    <w:rsid w:val="00EB7B85"/>
    <w:rsid w:val="00EC0D6C"/>
    <w:rsid w:val="00EC1778"/>
    <w:rsid w:val="00EC2D7C"/>
    <w:rsid w:val="00EC2EB8"/>
    <w:rsid w:val="00EC38C4"/>
    <w:rsid w:val="00EC3964"/>
    <w:rsid w:val="00ED1090"/>
    <w:rsid w:val="00ED3C9C"/>
    <w:rsid w:val="00ED7ED0"/>
    <w:rsid w:val="00EE2B62"/>
    <w:rsid w:val="00EE4958"/>
    <w:rsid w:val="00EE5E83"/>
    <w:rsid w:val="00EE78BC"/>
    <w:rsid w:val="00EF2310"/>
    <w:rsid w:val="00EF4FCF"/>
    <w:rsid w:val="00EF593B"/>
    <w:rsid w:val="00EF5AA5"/>
    <w:rsid w:val="00EF67AC"/>
    <w:rsid w:val="00F01B2D"/>
    <w:rsid w:val="00F032C5"/>
    <w:rsid w:val="00F06BA8"/>
    <w:rsid w:val="00F06E01"/>
    <w:rsid w:val="00F06EDB"/>
    <w:rsid w:val="00F115C3"/>
    <w:rsid w:val="00F137DC"/>
    <w:rsid w:val="00F168F1"/>
    <w:rsid w:val="00F22481"/>
    <w:rsid w:val="00F26D6C"/>
    <w:rsid w:val="00F34D9F"/>
    <w:rsid w:val="00F420D9"/>
    <w:rsid w:val="00F443C3"/>
    <w:rsid w:val="00F46A14"/>
    <w:rsid w:val="00F47301"/>
    <w:rsid w:val="00F51033"/>
    <w:rsid w:val="00F52682"/>
    <w:rsid w:val="00F53CF3"/>
    <w:rsid w:val="00F54ECC"/>
    <w:rsid w:val="00F54F4F"/>
    <w:rsid w:val="00F575FD"/>
    <w:rsid w:val="00F576E2"/>
    <w:rsid w:val="00F57FF1"/>
    <w:rsid w:val="00F606B1"/>
    <w:rsid w:val="00F60EFE"/>
    <w:rsid w:val="00F61006"/>
    <w:rsid w:val="00F63A39"/>
    <w:rsid w:val="00F650E3"/>
    <w:rsid w:val="00F6544D"/>
    <w:rsid w:val="00F65BD0"/>
    <w:rsid w:val="00F71896"/>
    <w:rsid w:val="00F731A7"/>
    <w:rsid w:val="00F75E7B"/>
    <w:rsid w:val="00F75F46"/>
    <w:rsid w:val="00F76ED7"/>
    <w:rsid w:val="00F80509"/>
    <w:rsid w:val="00F8495F"/>
    <w:rsid w:val="00F86B5C"/>
    <w:rsid w:val="00F906A4"/>
    <w:rsid w:val="00F92F89"/>
    <w:rsid w:val="00F96B02"/>
    <w:rsid w:val="00FA109D"/>
    <w:rsid w:val="00FA248E"/>
    <w:rsid w:val="00FA47CD"/>
    <w:rsid w:val="00FA52DF"/>
    <w:rsid w:val="00FA6481"/>
    <w:rsid w:val="00FB2A7F"/>
    <w:rsid w:val="00FB6464"/>
    <w:rsid w:val="00FB6F88"/>
    <w:rsid w:val="00FD1C71"/>
    <w:rsid w:val="00FD1DD3"/>
    <w:rsid w:val="00FD25AB"/>
    <w:rsid w:val="00FD32B8"/>
    <w:rsid w:val="00FD4B76"/>
    <w:rsid w:val="00FE008D"/>
    <w:rsid w:val="00FE1400"/>
    <w:rsid w:val="00FE17B6"/>
    <w:rsid w:val="00FE1C02"/>
    <w:rsid w:val="00FE3B0B"/>
    <w:rsid w:val="00FE5314"/>
    <w:rsid w:val="00FE5849"/>
    <w:rsid w:val="00FE6CDD"/>
    <w:rsid w:val="00FE72AD"/>
    <w:rsid w:val="00FE75A0"/>
    <w:rsid w:val="01631940"/>
    <w:rsid w:val="02837965"/>
    <w:rsid w:val="05634469"/>
    <w:rsid w:val="06AE545B"/>
    <w:rsid w:val="09C6467C"/>
    <w:rsid w:val="0E830ADB"/>
    <w:rsid w:val="12034454"/>
    <w:rsid w:val="12B113C1"/>
    <w:rsid w:val="15747FCD"/>
    <w:rsid w:val="16A91C56"/>
    <w:rsid w:val="1743234C"/>
    <w:rsid w:val="1F054EB2"/>
    <w:rsid w:val="1FBD0837"/>
    <w:rsid w:val="20582C1A"/>
    <w:rsid w:val="21452913"/>
    <w:rsid w:val="21DA1403"/>
    <w:rsid w:val="25916979"/>
    <w:rsid w:val="297971D0"/>
    <w:rsid w:val="29A30D33"/>
    <w:rsid w:val="2B654BED"/>
    <w:rsid w:val="339A4C51"/>
    <w:rsid w:val="395352F0"/>
    <w:rsid w:val="3B8C26AF"/>
    <w:rsid w:val="3BF21AC7"/>
    <w:rsid w:val="3C7A1C30"/>
    <w:rsid w:val="3D041DFE"/>
    <w:rsid w:val="3E7F7F5D"/>
    <w:rsid w:val="3ED600EA"/>
    <w:rsid w:val="3FA94B93"/>
    <w:rsid w:val="40EE65D6"/>
    <w:rsid w:val="42720234"/>
    <w:rsid w:val="44DF4BB3"/>
    <w:rsid w:val="46221DA8"/>
    <w:rsid w:val="47FD4632"/>
    <w:rsid w:val="499A379E"/>
    <w:rsid w:val="49C45158"/>
    <w:rsid w:val="4D4C7A92"/>
    <w:rsid w:val="5171304C"/>
    <w:rsid w:val="51FA127E"/>
    <w:rsid w:val="539D45B7"/>
    <w:rsid w:val="558477DD"/>
    <w:rsid w:val="55A7445B"/>
    <w:rsid w:val="564D4072"/>
    <w:rsid w:val="5BF27663"/>
    <w:rsid w:val="5C016164"/>
    <w:rsid w:val="5ECF0274"/>
    <w:rsid w:val="5FE30712"/>
    <w:rsid w:val="61477910"/>
    <w:rsid w:val="616D01B7"/>
    <w:rsid w:val="64C34CFE"/>
    <w:rsid w:val="66C54E83"/>
    <w:rsid w:val="672A6C9D"/>
    <w:rsid w:val="69513A22"/>
    <w:rsid w:val="69787DAA"/>
    <w:rsid w:val="69C97A5C"/>
    <w:rsid w:val="6B6A2B79"/>
    <w:rsid w:val="6D8B2914"/>
    <w:rsid w:val="6DD46DFB"/>
    <w:rsid w:val="6FE54EC4"/>
    <w:rsid w:val="70CE3BAA"/>
    <w:rsid w:val="722274F1"/>
    <w:rsid w:val="72737FC4"/>
    <w:rsid w:val="730F0E54"/>
    <w:rsid w:val="75EF7FE9"/>
    <w:rsid w:val="78085BF3"/>
    <w:rsid w:val="78A23952"/>
    <w:rsid w:val="7E8E7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0" w:name="heading 6"/>
    <w:lsdException w:qFormat="1" w:uiPriority="0" w:name="heading 7"/>
    <w:lsdException w:qFormat="1" w:uiPriority="9" w:name="heading 8"/>
    <w:lsdException w:qFormat="1" w:uiPriority="9"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cs="Times New Roman" w:eastAsiaTheme="minorEastAsia"/>
      <w:kern w:val="2"/>
      <w:sz w:val="21"/>
      <w:szCs w:val="22"/>
      <w:lang w:val="en-US" w:eastAsia="zh-CN" w:bidi="ar-SA"/>
    </w:rPr>
  </w:style>
  <w:style w:type="paragraph" w:styleId="2">
    <w:name w:val="heading 1"/>
    <w:basedOn w:val="1"/>
    <w:next w:val="1"/>
    <w:link w:val="48"/>
    <w:qFormat/>
    <w:uiPriority w:val="0"/>
    <w:pPr>
      <w:keepNext/>
      <w:keepLines/>
      <w:numPr>
        <w:ilvl w:val="0"/>
        <w:numId w:val="1"/>
      </w:numPr>
      <w:spacing w:before="240" w:after="240" w:line="578" w:lineRule="auto"/>
      <w:jc w:val="left"/>
      <w:outlineLvl w:val="0"/>
    </w:pPr>
    <w:rPr>
      <w:rFonts w:eastAsia="黑体"/>
      <w:b/>
      <w:bCs/>
      <w:kern w:val="44"/>
      <w:szCs w:val="44"/>
    </w:rPr>
  </w:style>
  <w:style w:type="paragraph" w:styleId="3">
    <w:name w:val="heading 2"/>
    <w:basedOn w:val="1"/>
    <w:next w:val="1"/>
    <w:link w:val="161"/>
    <w:unhideWhenUsed/>
    <w:qFormat/>
    <w:uiPriority w:val="9"/>
    <w:pPr>
      <w:keepNext/>
      <w:keepLines/>
      <w:numPr>
        <w:ilvl w:val="1"/>
        <w:numId w:val="1"/>
      </w:numPr>
      <w:jc w:val="left"/>
      <w:outlineLvl w:val="1"/>
    </w:pPr>
    <w:rPr>
      <w:rFonts w:eastAsia="黑体"/>
      <w:bCs/>
      <w:szCs w:val="24"/>
    </w:rPr>
  </w:style>
  <w:style w:type="paragraph" w:styleId="4">
    <w:name w:val="heading 3"/>
    <w:basedOn w:val="5"/>
    <w:next w:val="1"/>
    <w:link w:val="163"/>
    <w:unhideWhenUsed/>
    <w:qFormat/>
    <w:uiPriority w:val="9"/>
    <w:pPr>
      <w:keepNext/>
      <w:keepLines/>
      <w:numPr>
        <w:ilvl w:val="2"/>
        <w:numId w:val="1"/>
      </w:numPr>
      <w:spacing w:before="100" w:after="100" w:line="415" w:lineRule="auto"/>
      <w:outlineLvl w:val="2"/>
    </w:pPr>
    <w:rPr>
      <w:rFonts w:asciiTheme="minorHAnsi" w:hAnsiTheme="minorHAnsi"/>
      <w:bCs/>
      <w:szCs w:val="32"/>
    </w:rPr>
  </w:style>
  <w:style w:type="paragraph" w:styleId="7">
    <w:name w:val="heading 4"/>
    <w:basedOn w:val="1"/>
    <w:next w:val="1"/>
    <w:link w:val="164"/>
    <w:unhideWhenUsed/>
    <w:qFormat/>
    <w:uiPriority w:val="9"/>
    <w:pPr>
      <w:keepNext/>
      <w:keepLines/>
      <w:numPr>
        <w:ilvl w:val="3"/>
        <w:numId w:val="1"/>
      </w:numPr>
      <w:outlineLvl w:val="3"/>
    </w:pPr>
    <w:rPr>
      <w:rFonts w:asciiTheme="majorHAnsi" w:hAnsiTheme="majorHAnsi" w:eastAsiaTheme="majorEastAsia" w:cstheme="majorBidi"/>
      <w:bCs/>
      <w:szCs w:val="28"/>
    </w:rPr>
  </w:style>
  <w:style w:type="paragraph" w:styleId="8">
    <w:name w:val="heading 6"/>
    <w:basedOn w:val="1"/>
    <w:next w:val="1"/>
    <w:link w:val="49"/>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50"/>
    <w:semiHidden/>
    <w:unhideWhenUsed/>
    <w:qFormat/>
    <w:uiPriority w:val="0"/>
    <w:pPr>
      <w:keepNext/>
      <w:keepLines/>
      <w:spacing w:before="240" w:after="64" w:line="320" w:lineRule="auto"/>
      <w:outlineLvl w:val="6"/>
    </w:pPr>
    <w:rPr>
      <w:rFonts w:eastAsia="宋体"/>
      <w:b/>
      <w:bCs/>
      <w:sz w:val="24"/>
      <w:szCs w:val="24"/>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5">
    <w:name w:val="章标题"/>
    <w:next w:val="6"/>
    <w:link w:val="60"/>
    <w:qFormat/>
    <w:uiPriority w:val="99"/>
    <w:pPr>
      <w:spacing w:beforeLines="100" w:afterLines="100"/>
      <w:jc w:val="both"/>
      <w:outlineLvl w:val="1"/>
    </w:pPr>
    <w:rPr>
      <w:rFonts w:ascii="黑体" w:hAnsi="Times New Roman" w:eastAsia="黑体" w:cs="Times New Roman"/>
      <w:sz w:val="21"/>
      <w:lang w:val="en-US" w:eastAsia="zh-CN" w:bidi="ar-SA"/>
    </w:rPr>
  </w:style>
  <w:style w:type="paragraph" w:customStyle="1" w:styleId="6">
    <w:name w:val="段"/>
    <w:link w:val="59"/>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0">
    <w:name w:val="toc 7"/>
    <w:basedOn w:val="1"/>
    <w:next w:val="1"/>
    <w:qFormat/>
    <w:uiPriority w:val="39"/>
    <w:pPr>
      <w:tabs>
        <w:tab w:val="right" w:leader="dot" w:pos="9241"/>
      </w:tabs>
      <w:ind w:firstLine="505" w:firstLineChars="500"/>
      <w:jc w:val="left"/>
    </w:pPr>
    <w:rPr>
      <w:rFonts w:ascii="宋体" w:eastAsia="宋体"/>
      <w:szCs w:val="21"/>
    </w:rPr>
  </w:style>
  <w:style w:type="paragraph" w:styleId="11">
    <w:name w:val="index 8"/>
    <w:basedOn w:val="1"/>
    <w:next w:val="1"/>
    <w:qFormat/>
    <w:uiPriority w:val="0"/>
    <w:pPr>
      <w:ind w:left="1680" w:hanging="210"/>
      <w:jc w:val="left"/>
    </w:pPr>
    <w:rPr>
      <w:rFonts w:ascii="Calibri" w:hAnsi="Calibri" w:eastAsia="宋体"/>
      <w:sz w:val="20"/>
      <w:szCs w:val="20"/>
    </w:rPr>
  </w:style>
  <w:style w:type="paragraph" w:styleId="12">
    <w:name w:val="caption"/>
    <w:basedOn w:val="1"/>
    <w:next w:val="1"/>
    <w:qFormat/>
    <w:uiPriority w:val="35"/>
    <w:pPr>
      <w:spacing w:before="152" w:after="160"/>
    </w:pPr>
    <w:rPr>
      <w:rFonts w:ascii="Arial" w:hAnsi="Arial" w:eastAsia="黑体" w:cs="Arial"/>
      <w:sz w:val="20"/>
      <w:szCs w:val="20"/>
    </w:rPr>
  </w:style>
  <w:style w:type="paragraph" w:styleId="13">
    <w:name w:val="index 5"/>
    <w:basedOn w:val="1"/>
    <w:next w:val="1"/>
    <w:qFormat/>
    <w:uiPriority w:val="0"/>
    <w:pPr>
      <w:ind w:left="1050" w:hanging="210"/>
      <w:jc w:val="left"/>
    </w:pPr>
    <w:rPr>
      <w:rFonts w:ascii="Calibri" w:hAnsi="Calibri" w:eastAsia="宋体"/>
      <w:sz w:val="20"/>
      <w:szCs w:val="20"/>
    </w:rPr>
  </w:style>
  <w:style w:type="paragraph" w:styleId="14">
    <w:name w:val="Document Map"/>
    <w:basedOn w:val="1"/>
    <w:link w:val="65"/>
    <w:semiHidden/>
    <w:qFormat/>
    <w:uiPriority w:val="0"/>
    <w:pPr>
      <w:shd w:val="clear" w:color="auto" w:fill="000080"/>
    </w:pPr>
    <w:rPr>
      <w:rFonts w:eastAsia="宋体"/>
      <w:szCs w:val="24"/>
    </w:rPr>
  </w:style>
  <w:style w:type="paragraph" w:styleId="15">
    <w:name w:val="annotation text"/>
    <w:basedOn w:val="1"/>
    <w:link w:val="66"/>
    <w:qFormat/>
    <w:uiPriority w:val="0"/>
    <w:pPr>
      <w:jc w:val="left"/>
    </w:pPr>
    <w:rPr>
      <w:rFonts w:eastAsia="宋体"/>
      <w:szCs w:val="24"/>
    </w:rPr>
  </w:style>
  <w:style w:type="paragraph" w:styleId="16">
    <w:name w:val="index 6"/>
    <w:basedOn w:val="1"/>
    <w:next w:val="1"/>
    <w:qFormat/>
    <w:uiPriority w:val="0"/>
    <w:pPr>
      <w:ind w:left="1260" w:hanging="210"/>
      <w:jc w:val="left"/>
    </w:pPr>
    <w:rPr>
      <w:rFonts w:ascii="Calibri" w:hAnsi="Calibri" w:eastAsia="宋体"/>
      <w:sz w:val="20"/>
      <w:szCs w:val="20"/>
    </w:rPr>
  </w:style>
  <w:style w:type="paragraph" w:styleId="17">
    <w:name w:val="index 4"/>
    <w:basedOn w:val="1"/>
    <w:next w:val="1"/>
    <w:qFormat/>
    <w:uiPriority w:val="0"/>
    <w:pPr>
      <w:ind w:left="840" w:hanging="210"/>
      <w:jc w:val="left"/>
    </w:pPr>
    <w:rPr>
      <w:rFonts w:ascii="Calibri" w:hAnsi="Calibri" w:eastAsia="宋体"/>
      <w:sz w:val="20"/>
      <w:szCs w:val="20"/>
    </w:rPr>
  </w:style>
  <w:style w:type="paragraph" w:styleId="18">
    <w:name w:val="toc 5"/>
    <w:basedOn w:val="1"/>
    <w:next w:val="1"/>
    <w:qFormat/>
    <w:uiPriority w:val="39"/>
    <w:pPr>
      <w:tabs>
        <w:tab w:val="right" w:leader="dot" w:pos="9241"/>
      </w:tabs>
      <w:ind w:firstLine="300" w:firstLineChars="300"/>
      <w:jc w:val="left"/>
    </w:pPr>
    <w:rPr>
      <w:rFonts w:ascii="宋体" w:eastAsia="宋体"/>
      <w:szCs w:val="21"/>
    </w:rPr>
  </w:style>
  <w:style w:type="paragraph" w:styleId="19">
    <w:name w:val="toc 3"/>
    <w:basedOn w:val="1"/>
    <w:next w:val="1"/>
    <w:qFormat/>
    <w:uiPriority w:val="39"/>
    <w:pPr>
      <w:tabs>
        <w:tab w:val="right" w:leader="dot" w:pos="9241"/>
      </w:tabs>
      <w:ind w:firstLine="102" w:firstLineChars="100"/>
      <w:jc w:val="left"/>
    </w:pPr>
    <w:rPr>
      <w:rFonts w:ascii="宋体" w:eastAsia="宋体"/>
      <w:szCs w:val="21"/>
    </w:rPr>
  </w:style>
  <w:style w:type="paragraph" w:styleId="20">
    <w:name w:val="Plain Text"/>
    <w:basedOn w:val="1"/>
    <w:link w:val="67"/>
    <w:qFormat/>
    <w:uiPriority w:val="99"/>
    <w:rPr>
      <w:rFonts w:ascii="宋体" w:hAnsi="Courier New" w:eastAsia="宋体" w:cs="Courier New"/>
      <w:szCs w:val="21"/>
    </w:rPr>
  </w:style>
  <w:style w:type="paragraph" w:styleId="21">
    <w:name w:val="toc 8"/>
    <w:basedOn w:val="1"/>
    <w:next w:val="1"/>
    <w:qFormat/>
    <w:uiPriority w:val="39"/>
    <w:pPr>
      <w:tabs>
        <w:tab w:val="right" w:leader="dot" w:pos="9241"/>
      </w:tabs>
      <w:ind w:firstLine="607" w:firstLineChars="600"/>
      <w:jc w:val="left"/>
    </w:pPr>
    <w:rPr>
      <w:rFonts w:ascii="宋体" w:eastAsia="宋体"/>
      <w:szCs w:val="21"/>
    </w:rPr>
  </w:style>
  <w:style w:type="paragraph" w:styleId="22">
    <w:name w:val="index 3"/>
    <w:basedOn w:val="1"/>
    <w:next w:val="1"/>
    <w:qFormat/>
    <w:uiPriority w:val="0"/>
    <w:pPr>
      <w:ind w:left="630" w:hanging="210"/>
      <w:jc w:val="left"/>
    </w:pPr>
    <w:rPr>
      <w:rFonts w:ascii="Calibri" w:hAnsi="Calibri" w:eastAsia="宋体"/>
      <w:sz w:val="20"/>
      <w:szCs w:val="20"/>
    </w:rPr>
  </w:style>
  <w:style w:type="paragraph" w:styleId="23">
    <w:name w:val="endnote text"/>
    <w:basedOn w:val="1"/>
    <w:link w:val="68"/>
    <w:semiHidden/>
    <w:qFormat/>
    <w:uiPriority w:val="0"/>
    <w:pPr>
      <w:snapToGrid w:val="0"/>
      <w:jc w:val="left"/>
    </w:pPr>
    <w:rPr>
      <w:rFonts w:eastAsia="宋体"/>
      <w:szCs w:val="24"/>
    </w:rPr>
  </w:style>
  <w:style w:type="paragraph" w:styleId="24">
    <w:name w:val="Balloon Text"/>
    <w:basedOn w:val="1"/>
    <w:link w:val="58"/>
    <w:unhideWhenUsed/>
    <w:qFormat/>
    <w:uiPriority w:val="0"/>
    <w:rPr>
      <w:sz w:val="18"/>
      <w:szCs w:val="18"/>
    </w:rPr>
  </w:style>
  <w:style w:type="paragraph" w:styleId="25">
    <w:name w:val="footer"/>
    <w:basedOn w:val="1"/>
    <w:link w:val="52"/>
    <w:unhideWhenUsed/>
    <w:qFormat/>
    <w:uiPriority w:val="99"/>
    <w:pPr>
      <w:tabs>
        <w:tab w:val="center" w:pos="4153"/>
        <w:tab w:val="right" w:pos="8306"/>
      </w:tabs>
      <w:snapToGrid w:val="0"/>
      <w:jc w:val="left"/>
    </w:pPr>
    <w:rPr>
      <w:sz w:val="18"/>
      <w:szCs w:val="18"/>
    </w:rPr>
  </w:style>
  <w:style w:type="paragraph" w:styleId="26">
    <w:name w:val="header"/>
    <w:basedOn w:val="1"/>
    <w:link w:val="51"/>
    <w:unhideWhenUsed/>
    <w:qFormat/>
    <w:uiPriority w:val="99"/>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tabs>
        <w:tab w:val="right" w:leader="dot" w:pos="9241"/>
      </w:tabs>
      <w:spacing w:beforeLines="25" w:afterLines="25"/>
      <w:jc w:val="left"/>
    </w:pPr>
    <w:rPr>
      <w:rFonts w:ascii="宋体" w:eastAsia="宋体"/>
      <w:szCs w:val="21"/>
    </w:rPr>
  </w:style>
  <w:style w:type="paragraph" w:styleId="28">
    <w:name w:val="toc 4"/>
    <w:basedOn w:val="1"/>
    <w:next w:val="1"/>
    <w:qFormat/>
    <w:uiPriority w:val="39"/>
    <w:pPr>
      <w:tabs>
        <w:tab w:val="right" w:leader="dot" w:pos="9241"/>
      </w:tabs>
      <w:ind w:firstLine="198"/>
      <w:jc w:val="left"/>
    </w:pPr>
    <w:rPr>
      <w:rFonts w:ascii="宋体" w:eastAsia="宋体"/>
      <w:szCs w:val="21"/>
    </w:rPr>
  </w:style>
  <w:style w:type="paragraph" w:styleId="29">
    <w:name w:val="index heading"/>
    <w:basedOn w:val="1"/>
    <w:next w:val="30"/>
    <w:qFormat/>
    <w:uiPriority w:val="0"/>
    <w:pPr>
      <w:spacing w:before="120" w:after="120"/>
      <w:jc w:val="center"/>
    </w:pPr>
    <w:rPr>
      <w:rFonts w:ascii="Calibri" w:hAnsi="Calibri" w:eastAsia="宋体"/>
      <w:b/>
      <w:bCs/>
      <w:iCs/>
      <w:szCs w:val="20"/>
    </w:rPr>
  </w:style>
  <w:style w:type="paragraph" w:styleId="30">
    <w:name w:val="index 1"/>
    <w:basedOn w:val="1"/>
    <w:next w:val="1"/>
    <w:unhideWhenUsed/>
    <w:qFormat/>
    <w:uiPriority w:val="0"/>
  </w:style>
  <w:style w:type="paragraph" w:styleId="31">
    <w:name w:val="footnote text"/>
    <w:basedOn w:val="1"/>
    <w:link w:val="69"/>
    <w:qFormat/>
    <w:uiPriority w:val="0"/>
    <w:pPr>
      <w:tabs>
        <w:tab w:val="left" w:pos="0"/>
      </w:tabs>
      <w:snapToGrid w:val="0"/>
      <w:ind w:left="720" w:hanging="357"/>
      <w:jc w:val="left"/>
    </w:pPr>
    <w:rPr>
      <w:rFonts w:ascii="宋体" w:eastAsia="宋体"/>
      <w:sz w:val="18"/>
      <w:szCs w:val="18"/>
    </w:rPr>
  </w:style>
  <w:style w:type="paragraph" w:styleId="32">
    <w:name w:val="toc 6"/>
    <w:basedOn w:val="1"/>
    <w:next w:val="1"/>
    <w:qFormat/>
    <w:uiPriority w:val="39"/>
    <w:pPr>
      <w:tabs>
        <w:tab w:val="right" w:leader="dot" w:pos="9241"/>
      </w:tabs>
      <w:ind w:firstLine="403" w:firstLineChars="400"/>
      <w:jc w:val="left"/>
    </w:pPr>
    <w:rPr>
      <w:rFonts w:ascii="宋体" w:eastAsia="宋体"/>
      <w:szCs w:val="21"/>
    </w:rPr>
  </w:style>
  <w:style w:type="paragraph" w:styleId="33">
    <w:name w:val="index 7"/>
    <w:basedOn w:val="1"/>
    <w:next w:val="1"/>
    <w:qFormat/>
    <w:uiPriority w:val="0"/>
    <w:pPr>
      <w:ind w:left="1470" w:hanging="210"/>
      <w:jc w:val="left"/>
    </w:pPr>
    <w:rPr>
      <w:rFonts w:ascii="Calibri" w:hAnsi="Calibri" w:eastAsia="宋体"/>
      <w:sz w:val="20"/>
      <w:szCs w:val="20"/>
    </w:rPr>
  </w:style>
  <w:style w:type="paragraph" w:styleId="34">
    <w:name w:val="index 9"/>
    <w:basedOn w:val="1"/>
    <w:next w:val="1"/>
    <w:qFormat/>
    <w:uiPriority w:val="0"/>
    <w:pPr>
      <w:ind w:left="1890" w:hanging="210"/>
      <w:jc w:val="left"/>
    </w:pPr>
    <w:rPr>
      <w:rFonts w:ascii="Calibri" w:hAnsi="Calibri" w:eastAsia="宋体"/>
      <w:sz w:val="20"/>
      <w:szCs w:val="20"/>
    </w:rPr>
  </w:style>
  <w:style w:type="paragraph" w:styleId="35">
    <w:name w:val="toc 2"/>
    <w:basedOn w:val="1"/>
    <w:next w:val="1"/>
    <w:qFormat/>
    <w:uiPriority w:val="39"/>
    <w:pPr>
      <w:tabs>
        <w:tab w:val="right" w:leader="dot" w:pos="9241"/>
      </w:tabs>
    </w:pPr>
    <w:rPr>
      <w:rFonts w:ascii="宋体" w:eastAsia="宋体"/>
      <w:szCs w:val="21"/>
    </w:rPr>
  </w:style>
  <w:style w:type="paragraph" w:styleId="36">
    <w:name w:val="toc 9"/>
    <w:basedOn w:val="1"/>
    <w:next w:val="1"/>
    <w:qFormat/>
    <w:uiPriority w:val="39"/>
    <w:pPr>
      <w:ind w:left="1470"/>
      <w:jc w:val="left"/>
    </w:pPr>
    <w:rPr>
      <w:rFonts w:eastAsia="宋体"/>
      <w:sz w:val="20"/>
      <w:szCs w:val="20"/>
    </w:rPr>
  </w:style>
  <w:style w:type="paragraph" w:styleId="37">
    <w:name w:val="index 2"/>
    <w:basedOn w:val="1"/>
    <w:next w:val="1"/>
    <w:qFormat/>
    <w:uiPriority w:val="0"/>
    <w:pPr>
      <w:ind w:left="420" w:hanging="210"/>
      <w:jc w:val="left"/>
    </w:pPr>
    <w:rPr>
      <w:rFonts w:ascii="Calibri" w:hAnsi="Calibri" w:eastAsia="宋体"/>
      <w:sz w:val="20"/>
      <w:szCs w:val="20"/>
    </w:rPr>
  </w:style>
  <w:style w:type="paragraph" w:styleId="38">
    <w:name w:val="annotation subject"/>
    <w:basedOn w:val="15"/>
    <w:next w:val="15"/>
    <w:link w:val="70"/>
    <w:qFormat/>
    <w:uiPriority w:val="0"/>
    <w:rPr>
      <w:b/>
      <w:bCs/>
    </w:rPr>
  </w:style>
  <w:style w:type="table" w:styleId="40">
    <w:name w:val="Table Grid"/>
    <w:basedOn w:val="3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99"/>
    <w:rPr>
      <w:color w:val="0000FF"/>
      <w:spacing w:val="0"/>
      <w:w w:val="100"/>
      <w:szCs w:val="21"/>
      <w:u w:val="single"/>
      <w:lang w:val="en-US" w:eastAsia="zh-CN"/>
    </w:rPr>
  </w:style>
  <w:style w:type="character" w:styleId="46">
    <w:name w:val="annotation reference"/>
    <w:qFormat/>
    <w:uiPriority w:val="0"/>
    <w:rPr>
      <w:sz w:val="21"/>
      <w:szCs w:val="21"/>
    </w:rPr>
  </w:style>
  <w:style w:type="character" w:styleId="47">
    <w:name w:val="footnote reference"/>
    <w:semiHidden/>
    <w:qFormat/>
    <w:uiPriority w:val="0"/>
    <w:rPr>
      <w:vertAlign w:val="superscript"/>
    </w:rPr>
  </w:style>
  <w:style w:type="character" w:customStyle="1" w:styleId="48">
    <w:name w:val="标题 1 字符"/>
    <w:basedOn w:val="41"/>
    <w:link w:val="2"/>
    <w:qFormat/>
    <w:uiPriority w:val="0"/>
    <w:rPr>
      <w:rFonts w:eastAsia="黑体"/>
      <w:b/>
      <w:bCs/>
      <w:kern w:val="44"/>
      <w:sz w:val="21"/>
      <w:szCs w:val="44"/>
    </w:rPr>
  </w:style>
  <w:style w:type="character" w:customStyle="1" w:styleId="49">
    <w:name w:val="标题 6 字符"/>
    <w:basedOn w:val="41"/>
    <w:link w:val="8"/>
    <w:semiHidden/>
    <w:qFormat/>
    <w:uiPriority w:val="0"/>
    <w:rPr>
      <w:rFonts w:asciiTheme="majorHAnsi" w:hAnsiTheme="majorHAnsi" w:eastAsiaTheme="majorEastAsia" w:cstheme="majorBidi"/>
      <w:b/>
      <w:bCs/>
      <w:sz w:val="24"/>
      <w:szCs w:val="24"/>
    </w:rPr>
  </w:style>
  <w:style w:type="character" w:customStyle="1" w:styleId="50">
    <w:name w:val="标题 7 字符"/>
    <w:basedOn w:val="41"/>
    <w:link w:val="9"/>
    <w:semiHidden/>
    <w:qFormat/>
    <w:uiPriority w:val="0"/>
    <w:rPr>
      <w:rFonts w:ascii="Times New Roman" w:hAnsi="Times New Roman" w:eastAsia="宋体" w:cs="Times New Roman"/>
      <w:b/>
      <w:bCs/>
      <w:sz w:val="24"/>
      <w:szCs w:val="24"/>
    </w:rPr>
  </w:style>
  <w:style w:type="character" w:customStyle="1" w:styleId="51">
    <w:name w:val="页眉 字符"/>
    <w:basedOn w:val="41"/>
    <w:link w:val="26"/>
    <w:qFormat/>
    <w:uiPriority w:val="99"/>
    <w:rPr>
      <w:sz w:val="18"/>
      <w:szCs w:val="18"/>
    </w:rPr>
  </w:style>
  <w:style w:type="character" w:customStyle="1" w:styleId="52">
    <w:name w:val="页脚 字符"/>
    <w:basedOn w:val="41"/>
    <w:link w:val="25"/>
    <w:qFormat/>
    <w:uiPriority w:val="99"/>
    <w:rPr>
      <w:sz w:val="18"/>
      <w:szCs w:val="18"/>
    </w:rPr>
  </w:style>
  <w:style w:type="paragraph" w:customStyle="1" w:styleId="53">
    <w:name w:val="一级条标题"/>
    <w:next w:val="1"/>
    <w:link w:val="54"/>
    <w:qFormat/>
    <w:uiPriority w:val="99"/>
    <w:pPr>
      <w:spacing w:beforeLines="50" w:afterLines="50"/>
      <w:outlineLvl w:val="2"/>
    </w:pPr>
    <w:rPr>
      <w:rFonts w:ascii="黑体" w:hAnsi="Times New Roman" w:eastAsia="黑体" w:cs="Times New Roman"/>
      <w:sz w:val="21"/>
      <w:szCs w:val="21"/>
      <w:lang w:val="en-US" w:eastAsia="zh-CN" w:bidi="ar-SA"/>
    </w:rPr>
  </w:style>
  <w:style w:type="character" w:customStyle="1" w:styleId="54">
    <w:name w:val="一级条标题 Char"/>
    <w:link w:val="53"/>
    <w:qFormat/>
    <w:locked/>
    <w:uiPriority w:val="0"/>
    <w:rPr>
      <w:rFonts w:ascii="黑体" w:hAnsi="Times New Roman" w:eastAsia="黑体" w:cs="Times New Roman"/>
      <w:kern w:val="0"/>
      <w:szCs w:val="21"/>
    </w:rPr>
  </w:style>
  <w:style w:type="paragraph" w:customStyle="1" w:styleId="5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styleId="57">
    <w:name w:val="List Paragraph"/>
    <w:basedOn w:val="1"/>
    <w:qFormat/>
    <w:uiPriority w:val="99"/>
  </w:style>
  <w:style w:type="character" w:customStyle="1" w:styleId="58">
    <w:name w:val="批注框文本 字符"/>
    <w:basedOn w:val="41"/>
    <w:link w:val="24"/>
    <w:qFormat/>
    <w:uiPriority w:val="0"/>
    <w:rPr>
      <w:sz w:val="18"/>
      <w:szCs w:val="18"/>
    </w:rPr>
  </w:style>
  <w:style w:type="character" w:customStyle="1" w:styleId="59">
    <w:name w:val="段 Char"/>
    <w:link w:val="6"/>
    <w:qFormat/>
    <w:uiPriority w:val="99"/>
    <w:rPr>
      <w:rFonts w:ascii="宋体" w:hAnsi="Times New Roman" w:eastAsia="宋体" w:cs="Times New Roman"/>
      <w:kern w:val="0"/>
      <w:szCs w:val="20"/>
    </w:rPr>
  </w:style>
  <w:style w:type="character" w:customStyle="1" w:styleId="60">
    <w:name w:val="章标题 Char"/>
    <w:link w:val="5"/>
    <w:qFormat/>
    <w:locked/>
    <w:uiPriority w:val="0"/>
    <w:rPr>
      <w:rFonts w:ascii="黑体" w:hAnsi="Times New Roman" w:eastAsia="黑体" w:cs="Times New Roman"/>
      <w:kern w:val="0"/>
      <w:szCs w:val="20"/>
    </w:rPr>
  </w:style>
  <w:style w:type="character" w:customStyle="1" w:styleId="61">
    <w:name w:val="二级条标题 Char"/>
    <w:link w:val="62"/>
    <w:qFormat/>
    <w:uiPriority w:val="0"/>
    <w:rPr>
      <w:rFonts w:ascii="黑体" w:eastAsia="黑体"/>
      <w:szCs w:val="21"/>
    </w:rPr>
  </w:style>
  <w:style w:type="paragraph" w:customStyle="1" w:styleId="62">
    <w:name w:val="二级条标题"/>
    <w:basedOn w:val="53"/>
    <w:next w:val="6"/>
    <w:link w:val="61"/>
    <w:qFormat/>
    <w:uiPriority w:val="99"/>
    <w:pPr>
      <w:spacing w:before="50" w:after="50"/>
      <w:outlineLvl w:val="3"/>
    </w:pPr>
    <w:rPr>
      <w:rFonts w:hAnsiTheme="minorHAnsi" w:cstheme="minorBidi"/>
      <w:kern w:val="2"/>
    </w:rPr>
  </w:style>
  <w:style w:type="paragraph" w:customStyle="1" w:styleId="63">
    <w:name w:val="注×：（正文）"/>
    <w:qFormat/>
    <w:uiPriority w:val="0"/>
    <w:pPr>
      <w:ind w:left="3283" w:hanging="448"/>
      <w:jc w:val="both"/>
    </w:pPr>
    <w:rPr>
      <w:rFonts w:ascii="宋体" w:hAnsi="Times New Roman" w:eastAsia="宋体" w:cs="Times New Roman"/>
      <w:sz w:val="18"/>
      <w:szCs w:val="18"/>
      <w:lang w:val="en-US" w:eastAsia="zh-CN" w:bidi="ar-SA"/>
    </w:rPr>
  </w:style>
  <w:style w:type="paragraph" w:customStyle="1" w:styleId="64">
    <w:name w:val="注：（正文）"/>
    <w:basedOn w:val="1"/>
    <w:next w:val="6"/>
    <w:qFormat/>
    <w:uiPriority w:val="0"/>
    <w:pPr>
      <w:autoSpaceDE w:val="0"/>
      <w:autoSpaceDN w:val="0"/>
      <w:ind w:left="789" w:hanging="363"/>
    </w:pPr>
    <w:rPr>
      <w:rFonts w:ascii="宋体" w:eastAsia="宋体"/>
      <w:kern w:val="0"/>
      <w:sz w:val="18"/>
      <w:szCs w:val="18"/>
    </w:rPr>
  </w:style>
  <w:style w:type="character" w:customStyle="1" w:styleId="65">
    <w:name w:val="文档结构图 字符"/>
    <w:basedOn w:val="41"/>
    <w:link w:val="14"/>
    <w:semiHidden/>
    <w:qFormat/>
    <w:uiPriority w:val="0"/>
    <w:rPr>
      <w:rFonts w:ascii="Times New Roman" w:hAnsi="Times New Roman" w:eastAsia="宋体" w:cs="Times New Roman"/>
      <w:szCs w:val="24"/>
      <w:shd w:val="clear" w:color="auto" w:fill="000080"/>
    </w:rPr>
  </w:style>
  <w:style w:type="character" w:customStyle="1" w:styleId="66">
    <w:name w:val="批注文字 字符"/>
    <w:basedOn w:val="41"/>
    <w:link w:val="15"/>
    <w:qFormat/>
    <w:uiPriority w:val="0"/>
    <w:rPr>
      <w:rFonts w:ascii="Times New Roman" w:hAnsi="Times New Roman" w:eastAsia="宋体" w:cs="Times New Roman"/>
      <w:szCs w:val="24"/>
    </w:rPr>
  </w:style>
  <w:style w:type="character" w:customStyle="1" w:styleId="67">
    <w:name w:val="纯文本 字符"/>
    <w:basedOn w:val="41"/>
    <w:link w:val="20"/>
    <w:qFormat/>
    <w:uiPriority w:val="99"/>
    <w:rPr>
      <w:rFonts w:ascii="宋体" w:hAnsi="Courier New" w:eastAsia="宋体" w:cs="Courier New"/>
      <w:szCs w:val="21"/>
    </w:rPr>
  </w:style>
  <w:style w:type="character" w:customStyle="1" w:styleId="68">
    <w:name w:val="尾注文本 字符"/>
    <w:basedOn w:val="41"/>
    <w:link w:val="23"/>
    <w:semiHidden/>
    <w:qFormat/>
    <w:uiPriority w:val="0"/>
    <w:rPr>
      <w:rFonts w:ascii="Times New Roman" w:hAnsi="Times New Roman" w:eastAsia="宋体" w:cs="Times New Roman"/>
      <w:szCs w:val="24"/>
    </w:rPr>
  </w:style>
  <w:style w:type="character" w:customStyle="1" w:styleId="69">
    <w:name w:val="脚注文本 字符"/>
    <w:basedOn w:val="41"/>
    <w:link w:val="31"/>
    <w:qFormat/>
    <w:uiPriority w:val="0"/>
    <w:rPr>
      <w:rFonts w:ascii="宋体" w:hAnsi="Times New Roman" w:eastAsia="宋体" w:cs="Times New Roman"/>
      <w:sz w:val="18"/>
      <w:szCs w:val="18"/>
    </w:rPr>
  </w:style>
  <w:style w:type="character" w:customStyle="1" w:styleId="70">
    <w:name w:val="批注主题 字符"/>
    <w:basedOn w:val="66"/>
    <w:link w:val="38"/>
    <w:qFormat/>
    <w:uiPriority w:val="0"/>
    <w:rPr>
      <w:rFonts w:ascii="Times New Roman" w:hAnsi="Times New Roman" w:eastAsia="宋体" w:cs="Times New Roman"/>
      <w:b/>
      <w:bCs/>
      <w:szCs w:val="24"/>
    </w:rPr>
  </w:style>
  <w:style w:type="character" w:customStyle="1" w:styleId="71">
    <w:name w:val="发布"/>
    <w:qFormat/>
    <w:uiPriority w:val="0"/>
    <w:rPr>
      <w:rFonts w:ascii="黑体" w:eastAsia="黑体"/>
      <w:spacing w:val="85"/>
      <w:w w:val="100"/>
      <w:position w:val="3"/>
      <w:sz w:val="28"/>
      <w:szCs w:val="28"/>
    </w:rPr>
  </w:style>
  <w:style w:type="character" w:customStyle="1" w:styleId="72">
    <w:name w:val="首示例 Char"/>
    <w:link w:val="73"/>
    <w:qFormat/>
    <w:uiPriority w:val="0"/>
    <w:rPr>
      <w:rFonts w:ascii="宋体" w:hAnsi="宋体"/>
      <w:sz w:val="18"/>
      <w:szCs w:val="18"/>
    </w:rPr>
  </w:style>
  <w:style w:type="paragraph" w:customStyle="1" w:styleId="73">
    <w:name w:val="首示例"/>
    <w:next w:val="6"/>
    <w:link w:val="72"/>
    <w:qFormat/>
    <w:uiPriority w:val="0"/>
    <w:pPr>
      <w:tabs>
        <w:tab w:val="left" w:pos="360"/>
      </w:tabs>
    </w:pPr>
    <w:rPr>
      <w:rFonts w:ascii="宋体" w:hAnsi="宋体" w:eastAsiaTheme="minorEastAsia" w:cstheme="minorBidi"/>
      <w:kern w:val="2"/>
      <w:sz w:val="18"/>
      <w:szCs w:val="18"/>
      <w:lang w:val="en-US" w:eastAsia="zh-CN" w:bidi="ar-SA"/>
    </w:rPr>
  </w:style>
  <w:style w:type="character" w:customStyle="1" w:styleId="74">
    <w:name w:val="附录公式 Char"/>
    <w:basedOn w:val="59"/>
    <w:link w:val="75"/>
    <w:qFormat/>
    <w:uiPriority w:val="0"/>
    <w:rPr>
      <w:rFonts w:ascii="宋体" w:hAnsi="Times New Roman" w:eastAsia="宋体" w:cs="Times New Roman"/>
      <w:kern w:val="0"/>
      <w:szCs w:val="20"/>
    </w:rPr>
  </w:style>
  <w:style w:type="paragraph" w:customStyle="1" w:styleId="75">
    <w:name w:val="附录公式"/>
    <w:basedOn w:val="6"/>
    <w:next w:val="6"/>
    <w:link w:val="74"/>
    <w:qFormat/>
    <w:uiPriority w:val="0"/>
    <w:rPr>
      <w:rFonts w:hAnsiTheme="minorHAnsi" w:eastAsiaTheme="minorEastAsia" w:cstheme="minorBidi"/>
      <w:kern w:val="2"/>
      <w:szCs w:val="22"/>
    </w:rPr>
  </w:style>
  <w:style w:type="paragraph" w:customStyle="1" w:styleId="76">
    <w:name w:val="附录公式编号制表符"/>
    <w:basedOn w:val="1"/>
    <w:next w:val="6"/>
    <w:qFormat/>
    <w:uiPriority w:val="0"/>
    <w:pPr>
      <w:widowControl/>
      <w:tabs>
        <w:tab w:val="center" w:pos="4201"/>
        <w:tab w:val="right" w:leader="dot" w:pos="9298"/>
      </w:tabs>
      <w:autoSpaceDE w:val="0"/>
      <w:autoSpaceDN w:val="0"/>
    </w:pPr>
    <w:rPr>
      <w:rFonts w:ascii="宋体" w:eastAsia="宋体"/>
      <w:kern w:val="0"/>
      <w:szCs w:val="20"/>
    </w:rPr>
  </w:style>
  <w:style w:type="paragraph" w:customStyle="1" w:styleId="77">
    <w:name w:val="附录一级条标题"/>
    <w:basedOn w:val="78"/>
    <w:next w:val="6"/>
    <w:link w:val="171"/>
    <w:qFormat/>
    <w:uiPriority w:val="0"/>
    <w:pPr>
      <w:numPr>
        <w:numId w:val="2"/>
      </w:numPr>
      <w:tabs>
        <w:tab w:val="left" w:pos="360"/>
      </w:tabs>
      <w:autoSpaceDN w:val="0"/>
      <w:spacing w:before="50" w:beforeLines="50" w:after="50" w:afterLines="50"/>
      <w:outlineLvl w:val="2"/>
    </w:pPr>
  </w:style>
  <w:style w:type="paragraph" w:customStyle="1" w:styleId="78">
    <w:name w:val="附录章标题"/>
    <w:next w:val="6"/>
    <w:link w:val="170"/>
    <w:qFormat/>
    <w:uiPriority w:val="0"/>
    <w:pPr>
      <w:numPr>
        <w:ilvl w:val="0"/>
        <w:numId w:val="3"/>
      </w:numPr>
      <w:tabs>
        <w:tab w:val="left" w:pos="360"/>
      </w:tabs>
      <w:wordWrap w:val="0"/>
      <w:overflowPunct w:val="0"/>
      <w:autoSpaceDE w:val="0"/>
      <w:spacing w:before="100" w:beforeLines="100" w:after="100" w:afterLines="100"/>
      <w:jc w:val="both"/>
      <w:textAlignment w:val="baseline"/>
      <w:outlineLvl w:val="1"/>
    </w:pPr>
    <w:rPr>
      <w:rFonts w:ascii="黑体" w:hAnsi="黑体" w:eastAsia="黑体" w:cs="Times New Roman"/>
      <w:kern w:val="21"/>
      <w:sz w:val="21"/>
      <w:lang w:val="en-US" w:eastAsia="zh-CN" w:bidi="ar-SA"/>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附录五级无"/>
    <w:basedOn w:val="82"/>
    <w:qFormat/>
    <w:uiPriority w:val="0"/>
    <w:pPr>
      <w:tabs>
        <w:tab w:val="left" w:pos="360"/>
      </w:tabs>
      <w:spacing w:beforeLines="0" w:afterLines="0"/>
    </w:pPr>
    <w:rPr>
      <w:rFonts w:ascii="宋体" w:eastAsia="宋体"/>
      <w:szCs w:val="21"/>
    </w:rPr>
  </w:style>
  <w:style w:type="paragraph" w:customStyle="1" w:styleId="82">
    <w:name w:val="附录五级条标题"/>
    <w:basedOn w:val="83"/>
    <w:next w:val="6"/>
    <w:qFormat/>
    <w:uiPriority w:val="0"/>
    <w:pPr>
      <w:tabs>
        <w:tab w:val="left" w:pos="360"/>
      </w:tabs>
      <w:outlineLvl w:val="6"/>
    </w:pPr>
  </w:style>
  <w:style w:type="paragraph" w:customStyle="1" w:styleId="83">
    <w:name w:val="附录四级条标题"/>
    <w:basedOn w:val="84"/>
    <w:next w:val="6"/>
    <w:qFormat/>
    <w:uiPriority w:val="0"/>
    <w:pPr>
      <w:tabs>
        <w:tab w:val="left" w:pos="360"/>
      </w:tabs>
      <w:outlineLvl w:val="5"/>
    </w:pPr>
  </w:style>
  <w:style w:type="paragraph" w:customStyle="1" w:styleId="84">
    <w:name w:val="附录三级条标题"/>
    <w:basedOn w:val="85"/>
    <w:next w:val="6"/>
    <w:qFormat/>
    <w:uiPriority w:val="0"/>
    <w:pPr>
      <w:tabs>
        <w:tab w:val="left" w:pos="360"/>
      </w:tabs>
      <w:outlineLvl w:val="4"/>
    </w:pPr>
  </w:style>
  <w:style w:type="paragraph" w:customStyle="1" w:styleId="85">
    <w:name w:val="附录二级条标题"/>
    <w:basedOn w:val="1"/>
    <w:next w:val="6"/>
    <w:qFormat/>
    <w:uiPriority w:val="0"/>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6">
    <w:name w:val="列项◆（三级）"/>
    <w:basedOn w:val="1"/>
    <w:qFormat/>
    <w:uiPriority w:val="0"/>
    <w:pPr>
      <w:tabs>
        <w:tab w:val="left" w:pos="1678"/>
      </w:tabs>
      <w:ind w:left="1678" w:hanging="414"/>
    </w:pPr>
    <w:rPr>
      <w:rFonts w:ascii="宋体" w:eastAsia="宋体"/>
      <w:szCs w:val="21"/>
    </w:rPr>
  </w:style>
  <w:style w:type="paragraph" w:customStyle="1" w:styleId="87">
    <w:name w:val="参考文献"/>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8">
    <w:name w:val="标准书眉一"/>
    <w:qFormat/>
    <w:uiPriority w:val="0"/>
    <w:pPr>
      <w:jc w:val="both"/>
    </w:pPr>
    <w:rPr>
      <w:rFonts w:ascii="Times New Roman" w:hAnsi="Times New Roman" w:eastAsia="宋体" w:cs="Times New Roman"/>
      <w:lang w:val="en-US" w:eastAsia="zh-CN" w:bidi="ar-SA"/>
    </w:rPr>
  </w:style>
  <w:style w:type="paragraph" w:customStyle="1" w:styleId="89">
    <w:name w:val="TOC 标题1"/>
    <w:basedOn w:val="2"/>
    <w:next w:val="1"/>
    <w:unhideWhenUsed/>
    <w:qFormat/>
    <w:uiPriority w:val="39"/>
    <w:pPr>
      <w:widowControl/>
      <w:spacing w:after="0" w:line="259" w:lineRule="auto"/>
      <w:outlineLvl w:val="9"/>
    </w:pPr>
    <w:rPr>
      <w:rFonts w:ascii="等线 Light" w:hAnsi="等线 Light" w:eastAsia="等线 Light"/>
      <w:b w:val="0"/>
      <w:bCs w:val="0"/>
      <w:color w:val="2F5496"/>
      <w:kern w:val="0"/>
      <w:szCs w:val="32"/>
    </w:rPr>
  </w:style>
  <w:style w:type="paragraph" w:customStyle="1" w:styleId="90">
    <w:name w:val="其他发布部门"/>
    <w:basedOn w:val="91"/>
    <w:qFormat/>
    <w:uiPriority w:val="0"/>
    <w:pPr>
      <w:framePr w:wrap="around" w:y="15310"/>
      <w:spacing w:line="0" w:lineRule="atLeast"/>
    </w:pPr>
    <w:rPr>
      <w:rFonts w:ascii="黑体" w:eastAsia="黑体"/>
      <w:b w:val="0"/>
    </w:rPr>
  </w:style>
  <w:style w:type="paragraph" w:customStyle="1" w:styleId="91">
    <w:name w:val="发布部门"/>
    <w:next w:val="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2">
    <w:name w:val="附录图标题"/>
    <w:basedOn w:val="1"/>
    <w:next w:val="6"/>
    <w:qFormat/>
    <w:uiPriority w:val="0"/>
    <w:pPr>
      <w:tabs>
        <w:tab w:val="left" w:pos="363"/>
      </w:tabs>
      <w:spacing w:beforeLines="50" w:afterLines="50"/>
      <w:jc w:val="center"/>
    </w:pPr>
    <w:rPr>
      <w:rFonts w:ascii="黑体" w:eastAsia="黑体"/>
      <w:szCs w:val="21"/>
    </w:rPr>
  </w:style>
  <w:style w:type="paragraph" w:customStyle="1" w:styleId="93">
    <w:name w:val="封面一致性程度标识"/>
    <w:basedOn w:val="79"/>
    <w:qFormat/>
    <w:uiPriority w:val="0"/>
    <w:pPr>
      <w:framePr w:wrap="around"/>
      <w:spacing w:before="440"/>
    </w:pPr>
    <w:rPr>
      <w:rFonts w:ascii="宋体" w:eastAsia="宋体"/>
    </w:rPr>
  </w:style>
  <w:style w:type="paragraph" w:customStyle="1" w:styleId="94">
    <w:name w:val="实施日期"/>
    <w:basedOn w:val="95"/>
    <w:qFormat/>
    <w:uiPriority w:val="0"/>
    <w:pPr>
      <w:framePr w:wrap="around" w:vAnchor="page" w:hAnchor="text"/>
      <w:jc w:val="right"/>
    </w:pPr>
  </w:style>
  <w:style w:type="paragraph" w:customStyle="1" w:styleId="9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6">
    <w:name w:val="附录字母编号列项（一级）"/>
    <w:qFormat/>
    <w:uiPriority w:val="0"/>
    <w:pPr>
      <w:tabs>
        <w:tab w:val="left" w:pos="839"/>
      </w:tabs>
      <w:ind w:left="839" w:hanging="419"/>
    </w:pPr>
    <w:rPr>
      <w:rFonts w:ascii="宋体" w:hAnsi="Times New Roman" w:eastAsia="宋体" w:cs="Times New Roman"/>
      <w:sz w:val="21"/>
      <w:lang w:val="en-US" w:eastAsia="zh-CN" w:bidi="ar-SA"/>
    </w:rPr>
  </w:style>
  <w:style w:type="paragraph" w:customStyle="1" w:styleId="97">
    <w:name w:val="封面标准英文名称2"/>
    <w:basedOn w:val="79"/>
    <w:qFormat/>
    <w:uiPriority w:val="0"/>
    <w:pPr>
      <w:framePr w:wrap="around" w:y="4469"/>
    </w:pPr>
  </w:style>
  <w:style w:type="paragraph" w:customStyle="1" w:styleId="98">
    <w:name w:val="其他实施日期"/>
    <w:basedOn w:val="94"/>
    <w:qFormat/>
    <w:uiPriority w:val="0"/>
    <w:pPr>
      <w:framePr w:wrap="around"/>
    </w:pPr>
  </w:style>
  <w:style w:type="paragraph" w:customStyle="1" w:styleId="99">
    <w:name w:val="封面正文"/>
    <w:qFormat/>
    <w:uiPriority w:val="0"/>
    <w:pPr>
      <w:jc w:val="both"/>
    </w:pPr>
    <w:rPr>
      <w:rFonts w:ascii="Times New Roman" w:hAnsi="Times New Roman" w:eastAsia="宋体" w:cs="Times New Roman"/>
      <w:lang w:val="en-US" w:eastAsia="zh-CN" w:bidi="ar-SA"/>
    </w:rPr>
  </w:style>
  <w:style w:type="paragraph" w:customStyle="1" w:styleId="100">
    <w:name w:val="四级无"/>
    <w:basedOn w:val="101"/>
    <w:qFormat/>
    <w:uiPriority w:val="0"/>
    <w:pPr>
      <w:spacing w:beforeLines="0" w:afterLines="0"/>
    </w:pPr>
    <w:rPr>
      <w:rFonts w:ascii="宋体" w:eastAsia="宋体"/>
    </w:rPr>
  </w:style>
  <w:style w:type="paragraph" w:customStyle="1" w:styleId="101">
    <w:name w:val="四级条标题"/>
    <w:basedOn w:val="102"/>
    <w:next w:val="6"/>
    <w:qFormat/>
    <w:uiPriority w:val="99"/>
    <w:pPr>
      <w:outlineLvl w:val="5"/>
    </w:pPr>
  </w:style>
  <w:style w:type="paragraph" w:customStyle="1" w:styleId="102">
    <w:name w:val="三级条标题"/>
    <w:basedOn w:val="62"/>
    <w:next w:val="6"/>
    <w:qFormat/>
    <w:uiPriority w:val="99"/>
    <w:pPr>
      <w:outlineLvl w:val="4"/>
    </w:pPr>
    <w:rPr>
      <w:rFonts w:hAnsi="Times New Roman" w:cs="Times New Roman"/>
      <w:kern w:val="0"/>
    </w:rPr>
  </w:style>
  <w:style w:type="paragraph" w:customStyle="1" w:styleId="103">
    <w:name w:val="编号列项（三级）"/>
    <w:qFormat/>
    <w:uiPriority w:val="0"/>
    <w:rPr>
      <w:rFonts w:ascii="宋体" w:hAnsi="Times New Roman" w:eastAsia="宋体" w:cs="Times New Roman"/>
      <w:sz w:val="21"/>
      <w:lang w:val="en-US" w:eastAsia="zh-CN" w:bidi="ar-SA"/>
    </w:rPr>
  </w:style>
  <w:style w:type="paragraph" w:customStyle="1" w:styleId="104">
    <w:name w:val="其他发布日期"/>
    <w:basedOn w:val="95"/>
    <w:qFormat/>
    <w:uiPriority w:val="0"/>
    <w:pPr>
      <w:framePr w:wrap="around" w:vAnchor="page" w:hAnchor="text" w:x="1419"/>
    </w:pPr>
  </w:style>
  <w:style w:type="paragraph" w:customStyle="1" w:styleId="105">
    <w:name w:val="参考文献、索引标题"/>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6">
    <w:name w:val="封面一致性程度标识2"/>
    <w:basedOn w:val="93"/>
    <w:qFormat/>
    <w:uiPriority w:val="0"/>
    <w:pPr>
      <w:framePr w:wrap="around" w:y="4469"/>
    </w:pPr>
  </w:style>
  <w:style w:type="paragraph" w:customStyle="1" w:styleId="107">
    <w:name w:val="封面标准文稿类别"/>
    <w:basedOn w:val="93"/>
    <w:qFormat/>
    <w:uiPriority w:val="0"/>
    <w:pPr>
      <w:framePr w:wrap="around"/>
      <w:spacing w:after="160" w:line="240" w:lineRule="auto"/>
    </w:pPr>
    <w:rPr>
      <w:sz w:val="24"/>
    </w:rPr>
  </w:style>
  <w:style w:type="paragraph" w:customStyle="1" w:styleId="108">
    <w:name w:val="图表脚注说明"/>
    <w:basedOn w:val="1"/>
    <w:qFormat/>
    <w:uiPriority w:val="0"/>
    <w:pPr>
      <w:ind w:left="544" w:hanging="181"/>
    </w:pPr>
    <w:rPr>
      <w:rFonts w:ascii="宋体" w:eastAsia="宋体"/>
      <w:sz w:val="18"/>
      <w:szCs w:val="18"/>
    </w:rPr>
  </w:style>
  <w:style w:type="paragraph" w:customStyle="1" w:styleId="109">
    <w:name w:val="图标脚注说明"/>
    <w:basedOn w:val="6"/>
    <w:qFormat/>
    <w:uiPriority w:val="0"/>
    <w:pPr>
      <w:ind w:left="840" w:hanging="420" w:firstLineChars="0"/>
    </w:pPr>
    <w:rPr>
      <w:sz w:val="18"/>
      <w:szCs w:val="18"/>
    </w:rPr>
  </w:style>
  <w:style w:type="paragraph" w:customStyle="1" w:styleId="110">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11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2">
    <w:name w:val="二级无"/>
    <w:basedOn w:val="62"/>
    <w:qFormat/>
    <w:uiPriority w:val="0"/>
    <w:pPr>
      <w:spacing w:beforeLines="0" w:afterLines="0"/>
    </w:pPr>
    <w:rPr>
      <w:rFonts w:ascii="宋体" w:hAnsi="Times New Roman" w:eastAsia="宋体" w:cs="Times New Roman"/>
      <w:kern w:val="0"/>
    </w:rPr>
  </w:style>
  <w:style w:type="paragraph" w:customStyle="1" w:styleId="113">
    <w:name w:val="附录四级无"/>
    <w:basedOn w:val="83"/>
    <w:qFormat/>
    <w:uiPriority w:val="0"/>
    <w:pPr>
      <w:tabs>
        <w:tab w:val="clear" w:pos="360"/>
      </w:tabs>
      <w:spacing w:beforeLines="0" w:afterLines="0"/>
    </w:pPr>
    <w:rPr>
      <w:rFonts w:ascii="宋体" w:eastAsia="宋体"/>
      <w:szCs w:val="21"/>
    </w:rPr>
  </w:style>
  <w:style w:type="paragraph" w:customStyle="1" w:styleId="114">
    <w:name w:val="附录图标号"/>
    <w:basedOn w:val="1"/>
    <w:qFormat/>
    <w:uiPriority w:val="0"/>
    <w:pPr>
      <w:keepNext/>
      <w:pageBreakBefore/>
      <w:widowControl/>
      <w:spacing w:line="14" w:lineRule="exact"/>
      <w:ind w:firstLine="363"/>
      <w:jc w:val="center"/>
      <w:outlineLvl w:val="0"/>
    </w:pPr>
    <w:rPr>
      <w:rFonts w:eastAsia="宋体"/>
      <w:color w:val="FFFFFF"/>
      <w:szCs w:val="24"/>
    </w:rPr>
  </w:style>
  <w:style w:type="paragraph" w:customStyle="1" w:styleId="115">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116">
    <w:name w:val="附录表标号"/>
    <w:basedOn w:val="1"/>
    <w:next w:val="6"/>
    <w:qFormat/>
    <w:uiPriority w:val="0"/>
    <w:pPr>
      <w:spacing w:line="14" w:lineRule="exact"/>
      <w:ind w:left="811" w:hanging="448"/>
      <w:jc w:val="center"/>
      <w:outlineLvl w:val="0"/>
    </w:pPr>
    <w:rPr>
      <w:rFonts w:eastAsia="宋体"/>
      <w:color w:val="FFFFFF"/>
      <w:szCs w:val="24"/>
    </w:rPr>
  </w:style>
  <w:style w:type="paragraph" w:customStyle="1" w:styleId="117">
    <w:name w:val="示例"/>
    <w:next w:val="118"/>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118">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19">
    <w:name w:val="示例后文字"/>
    <w:basedOn w:val="6"/>
    <w:next w:val="6"/>
    <w:qFormat/>
    <w:uiPriority w:val="0"/>
    <w:pPr>
      <w:ind w:firstLine="360"/>
    </w:pPr>
    <w:rPr>
      <w:sz w:val="18"/>
    </w:rPr>
  </w:style>
  <w:style w:type="paragraph" w:customStyle="1" w:styleId="12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1">
    <w:name w:val="注："/>
    <w:next w:val="6"/>
    <w:qFormat/>
    <w:uiPriority w:val="0"/>
    <w:pPr>
      <w:widowControl w:val="0"/>
      <w:autoSpaceDE w:val="0"/>
      <w:autoSpaceDN w:val="0"/>
      <w:ind w:left="363" w:hanging="363"/>
      <w:jc w:val="both"/>
    </w:pPr>
    <w:rPr>
      <w:rFonts w:ascii="宋体" w:hAnsi="Times New Roman" w:eastAsia="宋体" w:cs="Times New Roman"/>
      <w:sz w:val="18"/>
      <w:szCs w:val="18"/>
      <w:lang w:val="en-US" w:eastAsia="zh-CN" w:bidi="ar-SA"/>
    </w:rPr>
  </w:style>
  <w:style w:type="paragraph" w:customStyle="1" w:styleId="122">
    <w:name w:val="前言、引言标题"/>
    <w:next w:val="6"/>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4">
    <w:name w:val="附录标识"/>
    <w:basedOn w:val="1"/>
    <w:next w:val="6"/>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25">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126">
    <w:name w:val="附录表标题"/>
    <w:basedOn w:val="1"/>
    <w:next w:val="6"/>
    <w:qFormat/>
    <w:uiPriority w:val="0"/>
    <w:pPr>
      <w:numPr>
        <w:ilvl w:val="0"/>
        <w:numId w:val="4"/>
      </w:numPr>
      <w:tabs>
        <w:tab w:val="left" w:pos="180"/>
      </w:tabs>
      <w:spacing w:before="50" w:beforeLines="50" w:after="50" w:afterLines="50"/>
      <w:jc w:val="center"/>
    </w:pPr>
    <w:rPr>
      <w:rFonts w:ascii="黑体" w:hAnsi="黑体" w:eastAsia="黑体"/>
      <w:szCs w:val="21"/>
    </w:rPr>
  </w:style>
  <w:style w:type="paragraph" w:customStyle="1" w:styleId="127">
    <w:name w:val="封面标准文稿类别2"/>
    <w:basedOn w:val="107"/>
    <w:qFormat/>
    <w:uiPriority w:val="0"/>
    <w:pPr>
      <w:framePr w:wrap="around" w:y="4469"/>
    </w:pPr>
  </w:style>
  <w:style w:type="paragraph" w:customStyle="1" w:styleId="12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30">
    <w:name w:val="附录数字编号列项（二级）"/>
    <w:qFormat/>
    <w:uiPriority w:val="0"/>
    <w:pPr>
      <w:tabs>
        <w:tab w:val="left" w:pos="840"/>
      </w:tabs>
      <w:ind w:left="839" w:hanging="419"/>
    </w:pPr>
    <w:rPr>
      <w:rFonts w:ascii="宋体" w:hAnsi="Times New Roman" w:eastAsia="宋体" w:cs="Times New Roman"/>
      <w:sz w:val="21"/>
      <w:lang w:val="en-US" w:eastAsia="zh-CN" w:bidi="ar-SA"/>
    </w:rPr>
  </w:style>
  <w:style w:type="paragraph" w:customStyle="1" w:styleId="131">
    <w:name w:val="封面标准文稿编辑信息"/>
    <w:basedOn w:val="107"/>
    <w:qFormat/>
    <w:uiPriority w:val="0"/>
    <w:pPr>
      <w:framePr w:wrap="around"/>
      <w:spacing w:before="180" w:line="180" w:lineRule="exact"/>
    </w:pPr>
    <w:rPr>
      <w:sz w:val="21"/>
    </w:rPr>
  </w:style>
  <w:style w:type="paragraph" w:customStyle="1" w:styleId="13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3">
    <w:name w:val="三级无"/>
    <w:basedOn w:val="102"/>
    <w:qFormat/>
    <w:uiPriority w:val="0"/>
    <w:pPr>
      <w:spacing w:beforeLines="0" w:afterLines="0"/>
    </w:pPr>
    <w:rPr>
      <w:rFonts w:ascii="宋体" w:eastAsia="宋体"/>
    </w:rPr>
  </w:style>
  <w:style w:type="paragraph" w:customStyle="1" w:styleId="134">
    <w:name w:val="封面标准文稿编辑信息2"/>
    <w:basedOn w:val="131"/>
    <w:qFormat/>
    <w:uiPriority w:val="0"/>
    <w:pPr>
      <w:framePr w:wrap="around" w:y="4469"/>
    </w:pPr>
  </w:style>
  <w:style w:type="paragraph" w:customStyle="1" w:styleId="135">
    <w:name w:val="示例×："/>
    <w:basedOn w:val="5"/>
    <w:qFormat/>
    <w:uiPriority w:val="0"/>
    <w:pPr>
      <w:spacing w:beforeLines="0" w:afterLines="0"/>
      <w:ind w:firstLine="363"/>
      <w:outlineLvl w:val="9"/>
    </w:pPr>
    <w:rPr>
      <w:rFonts w:ascii="宋体" w:eastAsia="宋体"/>
      <w:sz w:val="18"/>
      <w:szCs w:val="18"/>
    </w:rPr>
  </w:style>
  <w:style w:type="paragraph" w:customStyle="1" w:styleId="136">
    <w:name w:val="正文公式编号制表符"/>
    <w:basedOn w:val="6"/>
    <w:next w:val="6"/>
    <w:qFormat/>
    <w:uiPriority w:val="0"/>
    <w:pPr>
      <w:ind w:firstLine="0" w:firstLineChars="0"/>
    </w:pPr>
  </w:style>
  <w:style w:type="paragraph" w:customStyle="1" w:styleId="137">
    <w:name w:val="其他标准标志"/>
    <w:basedOn w:val="123"/>
    <w:qFormat/>
    <w:uiPriority w:val="0"/>
    <w:pPr>
      <w:framePr w:w="6101" w:wrap="around" w:vAnchor="page" w:hAnchor="page" w:x="4673" w:y="942"/>
    </w:pPr>
    <w:rPr>
      <w:w w:val="130"/>
    </w:rPr>
  </w:style>
  <w:style w:type="paragraph" w:customStyle="1" w:styleId="138">
    <w:name w:val="五级无"/>
    <w:basedOn w:val="139"/>
    <w:qFormat/>
    <w:uiPriority w:val="0"/>
    <w:pPr>
      <w:spacing w:beforeLines="0" w:afterLines="0"/>
    </w:pPr>
    <w:rPr>
      <w:rFonts w:ascii="宋体" w:eastAsia="宋体"/>
    </w:rPr>
  </w:style>
  <w:style w:type="paragraph" w:customStyle="1" w:styleId="139">
    <w:name w:val="五级条标题"/>
    <w:basedOn w:val="101"/>
    <w:next w:val="6"/>
    <w:qFormat/>
    <w:uiPriority w:val="99"/>
    <w:pPr>
      <w:outlineLvl w:val="6"/>
    </w:pPr>
  </w:style>
  <w:style w:type="paragraph" w:customStyle="1" w:styleId="140">
    <w:name w:val="附录一级无"/>
    <w:basedOn w:val="77"/>
    <w:qFormat/>
    <w:uiPriority w:val="0"/>
    <w:pPr>
      <w:spacing w:beforeLines="0" w:afterLines="0"/>
    </w:pPr>
    <w:rPr>
      <w:rFonts w:ascii="宋体" w:eastAsia="宋体"/>
      <w:szCs w:val="21"/>
    </w:rPr>
  </w:style>
  <w:style w:type="paragraph" w:customStyle="1" w:styleId="141">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142">
    <w:name w:val="一级无"/>
    <w:basedOn w:val="53"/>
    <w:qFormat/>
    <w:uiPriority w:val="0"/>
    <w:pPr>
      <w:spacing w:beforeLines="0" w:afterLines="0"/>
    </w:pPr>
    <w:rPr>
      <w:rFonts w:ascii="宋体" w:eastAsia="宋体"/>
    </w:rPr>
  </w:style>
  <w:style w:type="paragraph" w:customStyle="1" w:styleId="143">
    <w:name w:val="目次、标准名称标题"/>
    <w:basedOn w:val="1"/>
    <w:next w:val="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44">
    <w:name w:val="列项说明"/>
    <w:basedOn w:val="1"/>
    <w:qFormat/>
    <w:uiPriority w:val="0"/>
    <w:pPr>
      <w:adjustRightInd w:val="0"/>
      <w:spacing w:line="320" w:lineRule="exact"/>
      <w:ind w:left="400" w:leftChars="200" w:hanging="200" w:hangingChars="200"/>
      <w:jc w:val="left"/>
      <w:textAlignment w:val="baseline"/>
    </w:pPr>
    <w:rPr>
      <w:rFonts w:ascii="宋体" w:eastAsia="宋体"/>
      <w:kern w:val="0"/>
      <w:szCs w:val="20"/>
    </w:rPr>
  </w:style>
  <w:style w:type="paragraph" w:customStyle="1" w:styleId="14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6">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147">
    <w:name w:val="附录三级无"/>
    <w:basedOn w:val="84"/>
    <w:qFormat/>
    <w:uiPriority w:val="0"/>
    <w:pPr>
      <w:tabs>
        <w:tab w:val="clear" w:pos="360"/>
      </w:tabs>
      <w:spacing w:beforeLines="0" w:afterLines="0"/>
    </w:pPr>
    <w:rPr>
      <w:rFonts w:ascii="宋体" w:eastAsia="宋体"/>
      <w:szCs w:val="21"/>
    </w:rPr>
  </w:style>
  <w:style w:type="paragraph" w:customStyle="1" w:styleId="148">
    <w:name w:val="封面标准名称2"/>
    <w:basedOn w:val="80"/>
    <w:qFormat/>
    <w:uiPriority w:val="0"/>
    <w:pPr>
      <w:framePr w:wrap="around" w:y="4469"/>
      <w:spacing w:beforeLines="630"/>
    </w:pPr>
  </w:style>
  <w:style w:type="paragraph" w:customStyle="1" w:styleId="149">
    <w:name w:val="正文图标题"/>
    <w:next w:val="6"/>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50">
    <w:name w:val="图的脚注"/>
    <w:next w:val="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51">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52">
    <w:name w:val="终结线"/>
    <w:basedOn w:val="1"/>
    <w:qFormat/>
    <w:uiPriority w:val="0"/>
    <w:pPr>
      <w:framePr w:hSpace="181" w:vSpace="181" w:wrap="around" w:vAnchor="text" w:hAnchor="margin" w:xAlign="center" w:y="285"/>
    </w:pPr>
    <w:rPr>
      <w:rFonts w:eastAsia="宋体"/>
      <w:szCs w:val="24"/>
    </w:rPr>
  </w:style>
  <w:style w:type="paragraph" w:customStyle="1" w:styleId="153">
    <w:name w:val="标准书眉_偶数页"/>
    <w:basedOn w:val="55"/>
    <w:next w:val="1"/>
    <w:qFormat/>
    <w:uiPriority w:val="0"/>
    <w:pPr>
      <w:jc w:val="left"/>
    </w:pPr>
  </w:style>
  <w:style w:type="paragraph" w:customStyle="1" w:styleId="154">
    <w:name w:val="附录二级无"/>
    <w:basedOn w:val="85"/>
    <w:qFormat/>
    <w:uiPriority w:val="0"/>
    <w:pPr>
      <w:tabs>
        <w:tab w:val="clear" w:pos="360"/>
      </w:tabs>
      <w:spacing w:beforeLines="0" w:afterLines="0"/>
    </w:pPr>
    <w:rPr>
      <w:rFonts w:ascii="宋体" w:eastAsia="宋体"/>
      <w:szCs w:val="21"/>
    </w:rPr>
  </w:style>
  <w:style w:type="paragraph" w:customStyle="1" w:styleId="15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56">
    <w:name w:val="条文脚注"/>
    <w:basedOn w:val="31"/>
    <w:qFormat/>
    <w:uiPriority w:val="0"/>
    <w:pPr>
      <w:ind w:left="0" w:firstLine="0"/>
      <w:jc w:val="both"/>
    </w:pPr>
  </w:style>
  <w:style w:type="paragraph" w:customStyle="1" w:styleId="157">
    <w:name w:val="附录标题"/>
    <w:basedOn w:val="6"/>
    <w:next w:val="6"/>
    <w:qFormat/>
    <w:uiPriority w:val="0"/>
    <w:pPr>
      <w:ind w:firstLine="0" w:firstLineChars="0"/>
      <w:jc w:val="center"/>
    </w:pPr>
    <w:rPr>
      <w:rFonts w:ascii="黑体" w:eastAsia="黑体"/>
    </w:rPr>
  </w:style>
  <w:style w:type="paragraph" w:customStyle="1" w:styleId="15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59">
    <w:name w:val="正文表标题"/>
    <w:next w:val="6"/>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character" w:styleId="160">
    <w:name w:val="Placeholder Text"/>
    <w:basedOn w:val="41"/>
    <w:unhideWhenUsed/>
    <w:qFormat/>
    <w:uiPriority w:val="99"/>
    <w:rPr>
      <w:color w:val="808080"/>
    </w:rPr>
  </w:style>
  <w:style w:type="character" w:customStyle="1" w:styleId="161">
    <w:name w:val="标题 2 字符"/>
    <w:basedOn w:val="41"/>
    <w:link w:val="3"/>
    <w:qFormat/>
    <w:uiPriority w:val="9"/>
    <w:rPr>
      <w:rFonts w:eastAsia="黑体"/>
      <w:bCs/>
      <w:kern w:val="2"/>
      <w:sz w:val="21"/>
      <w:szCs w:val="24"/>
    </w:rPr>
  </w:style>
  <w:style w:type="paragraph" w:customStyle="1" w:styleId="162">
    <w:name w:val="TOC 标题2"/>
    <w:basedOn w:val="2"/>
    <w:next w:val="1"/>
    <w:semiHidden/>
    <w:unhideWhenUsed/>
    <w:qFormat/>
    <w:uiPriority w:val="39"/>
    <w:pPr>
      <w:widowControl/>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character" w:customStyle="1" w:styleId="163">
    <w:name w:val="标题 3 字符"/>
    <w:basedOn w:val="41"/>
    <w:link w:val="4"/>
    <w:qFormat/>
    <w:uiPriority w:val="9"/>
    <w:rPr>
      <w:rFonts w:asciiTheme="minorHAnsi" w:hAnsiTheme="minorHAnsi" w:eastAsiaTheme="minorEastAsia" w:cstheme="minorBidi"/>
      <w:bCs/>
      <w:kern w:val="2"/>
      <w:sz w:val="21"/>
      <w:szCs w:val="32"/>
    </w:rPr>
  </w:style>
  <w:style w:type="character" w:customStyle="1" w:styleId="164">
    <w:name w:val="标题 4 字符"/>
    <w:basedOn w:val="41"/>
    <w:link w:val="7"/>
    <w:qFormat/>
    <w:uiPriority w:val="9"/>
    <w:rPr>
      <w:rFonts w:asciiTheme="majorHAnsi" w:hAnsiTheme="majorHAnsi" w:eastAsiaTheme="majorEastAsia" w:cstheme="majorBidi"/>
      <w:bCs/>
      <w:kern w:val="2"/>
      <w:sz w:val="21"/>
      <w:szCs w:val="28"/>
    </w:rPr>
  </w:style>
  <w:style w:type="table" w:customStyle="1" w:styleId="165">
    <w:name w:val="网格型1"/>
    <w:basedOn w:val="39"/>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7">
    <w:name w:val="fontstyle01"/>
    <w:basedOn w:val="41"/>
    <w:qFormat/>
    <w:uiPriority w:val="0"/>
    <w:rPr>
      <w:rFonts w:hint="default" w:ascii="FZSSK--GBK1-0" w:hAnsi="FZSSK--GBK1-0"/>
      <w:color w:val="000000"/>
      <w:sz w:val="20"/>
      <w:szCs w:val="20"/>
    </w:rPr>
  </w:style>
  <w:style w:type="character" w:customStyle="1" w:styleId="168">
    <w:name w:val="fontstyle21"/>
    <w:basedOn w:val="41"/>
    <w:qFormat/>
    <w:uiPriority w:val="0"/>
    <w:rPr>
      <w:rFonts w:hint="default" w:ascii="E-BZ" w:hAnsi="E-BZ"/>
      <w:color w:val="000000"/>
      <w:sz w:val="20"/>
      <w:szCs w:val="20"/>
    </w:rPr>
  </w:style>
  <w:style w:type="character" w:customStyle="1" w:styleId="169">
    <w:name w:val="fontstyle11"/>
    <w:basedOn w:val="41"/>
    <w:qFormat/>
    <w:uiPriority w:val="0"/>
    <w:rPr>
      <w:rFonts w:hint="default" w:ascii="E-BZ" w:hAnsi="E-BZ"/>
      <w:color w:val="000000"/>
      <w:sz w:val="20"/>
      <w:szCs w:val="20"/>
    </w:rPr>
  </w:style>
  <w:style w:type="character" w:customStyle="1" w:styleId="170">
    <w:name w:val="附录章标题 Char"/>
    <w:link w:val="78"/>
    <w:qFormat/>
    <w:uiPriority w:val="0"/>
    <w:rPr>
      <w:rFonts w:ascii="黑体" w:hAnsi="黑体" w:eastAsia="黑体" w:cs="Times New Roman"/>
      <w:kern w:val="21"/>
      <w:sz w:val="21"/>
      <w:lang w:val="en-US" w:eastAsia="zh-CN" w:bidi="ar-SA"/>
    </w:rPr>
  </w:style>
  <w:style w:type="character" w:customStyle="1" w:styleId="171">
    <w:name w:val="附录一级条标题 Char"/>
    <w:link w:val="77"/>
    <w:qFormat/>
    <w:uiPriority w:val="0"/>
    <w:rPr>
      <w:rFonts w:eastAsia="黑体"/>
    </w:rPr>
  </w:style>
  <w:style w:type="paragraph" w:customStyle="1" w:styleId="172">
    <w:name w:val="标准文件_附录表标题"/>
    <w:next w:val="173"/>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7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4">
    <w:name w:val="标准文件_附录标识"/>
    <w:next w:val="173"/>
    <w:qFormat/>
    <w:uiPriority w:val="0"/>
    <w:pPr>
      <w:numPr>
        <w:ilvl w:val="0"/>
        <w:numId w:val="6"/>
      </w:numPr>
      <w:shd w:val="clear" w:color="FFFFFF" w:fill="FFFFFF"/>
      <w:spacing w:before="560" w:after="50" w:afterLines="50"/>
      <w:jc w:val="center"/>
      <w:outlineLvl w:val="0"/>
    </w:pPr>
    <w:rPr>
      <w:rFonts w:ascii="黑体" w:hAnsi="黑体" w:eastAsia="黑体" w:cs="Times New Roman"/>
      <w:sz w:val="21"/>
      <w:lang w:val="en-US" w:eastAsia="zh-CN" w:bidi="ar-SA"/>
    </w:rPr>
  </w:style>
  <w:style w:type="paragraph" w:customStyle="1" w:styleId="175">
    <w:name w:val="标准文件_附录一级条标题"/>
    <w:next w:val="173"/>
    <w:qFormat/>
    <w:uiPriority w:val="0"/>
    <w:pPr>
      <w:widowControl w:val="0"/>
      <w:numPr>
        <w:ilvl w:val="1"/>
        <w:numId w:val="7"/>
      </w:numPr>
      <w:spacing w:before="50" w:beforeLines="50" w:after="50" w:afterLines="50"/>
      <w:jc w:val="both"/>
      <w:outlineLvl w:val="2"/>
    </w:pPr>
    <w:rPr>
      <w:rFonts w:ascii="黑体" w:hAnsi="黑体" w:eastAsia="黑体" w:cs="Times New Roman"/>
      <w:kern w:val="21"/>
      <w:sz w:val="21"/>
      <w:lang w:val="en-US" w:eastAsia="zh-CN" w:bidi="ar-SA"/>
    </w:rPr>
  </w:style>
  <w:style w:type="paragraph" w:customStyle="1" w:styleId="176">
    <w:name w:val="标准文件_附录图标号"/>
    <w:basedOn w:val="157"/>
    <w:qFormat/>
    <w:uiPriority w:val="0"/>
    <w:pPr>
      <w:numPr>
        <w:ilvl w:val="0"/>
        <w:numId w:val="8"/>
      </w:numPr>
    </w:pPr>
    <w:rPr>
      <w:rFonts w:hAnsi="黑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1.tiff"/><Relationship Id="rId26" Type="http://schemas.openxmlformats.org/officeDocument/2006/relationships/image" Target="media/image10.tiff"/><Relationship Id="rId25" Type="http://schemas.openxmlformats.org/officeDocument/2006/relationships/image" Target="media/image9.tiff"/><Relationship Id="rId24" Type="http://schemas.openxmlformats.org/officeDocument/2006/relationships/image" Target="media/image8.tiff"/><Relationship Id="rId23" Type="http://schemas.openxmlformats.org/officeDocument/2006/relationships/image" Target="media/image7.tiff"/><Relationship Id="rId22" Type="http://schemas.openxmlformats.org/officeDocument/2006/relationships/image" Target="media/image6.tiff"/><Relationship Id="rId21" Type="http://schemas.openxmlformats.org/officeDocument/2006/relationships/image" Target="media/image5.tiff"/><Relationship Id="rId20" Type="http://schemas.openxmlformats.org/officeDocument/2006/relationships/image" Target="media/image4.tiff"/><Relationship Id="rId2" Type="http://schemas.openxmlformats.org/officeDocument/2006/relationships/settings" Target="settings.xml"/><Relationship Id="rId19" Type="http://schemas.openxmlformats.org/officeDocument/2006/relationships/image" Target="media/image3.tiff"/><Relationship Id="rId18" Type="http://schemas.openxmlformats.org/officeDocument/2006/relationships/image" Target="media/image2.tiff"/><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D35E08-AD9B-450E-9787-BE8677C2C1EF}">
  <ds:schemaRefs/>
</ds:datastoreItem>
</file>

<file path=docProps/app.xml><?xml version="1.0" encoding="utf-8"?>
<Properties xmlns="http://schemas.openxmlformats.org/officeDocument/2006/extended-properties" xmlns:vt="http://schemas.openxmlformats.org/officeDocument/2006/docPropsVTypes">
  <Template>Normal</Template>
  <Pages>19</Pages>
  <Words>4530</Words>
  <Characters>5043</Characters>
  <Lines>38</Lines>
  <Paragraphs>10</Paragraphs>
  <TotalTime>109</TotalTime>
  <ScaleCrop>false</ScaleCrop>
  <LinksUpToDate>false</LinksUpToDate>
  <CharactersWithSpaces>5110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2024-12-24T09:32:00Z</dcterms:created>
  <dc:creator>Windows 用户</dc:creator>
  <cp:lastModifiedBy>一夕</cp:lastModifiedBy>
  <cp:lastPrinted>2024-11-12T00:54:00Z</cp:lastPrinted>
  <dcterms:modified xsi:type="dcterms:W3CDTF">2025-11-07T00:35:11Z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48EC63BB3AB04260BFF7015963B23916_13</vt:lpwstr>
  </property>
  <property fmtid="{D5CDD505-2E9C-101B-9397-08002B2CF9AE}" pid="4" name="KSOTemplateDocerSaveRecord">
    <vt:lpwstr>eyJoZGlkIjoiODBjNDZhNzJmNDBmNWY4MDIxYjQwNzdiZmI4NTVkZTMiLCJ1c2VySWQiOiIzNTM2Nzk1NzYifQ==</vt:lpwstr>
  </property>
</Properties>
</file>